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41D3B787" w:rsidR="00A160B2" w:rsidRDefault="00CC2663" w:rsidP="00A160B2">
      <w:pPr>
        <w:spacing w:after="480"/>
      </w:pPr>
      <w:r>
        <w:rPr>
          <w:noProof/>
        </w:rPr>
        <w:drawing>
          <wp:inline distT="0" distB="0" distL="0" distR="0" wp14:anchorId="72347AAD" wp14:editId="6253275F">
            <wp:extent cx="2440940" cy="707390"/>
            <wp:effectExtent l="0" t="0" r="0" b="0"/>
            <wp:docPr id="3" name="Picture 3"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don Borough of Harro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0940" cy="707390"/>
                    </a:xfrm>
                    <a:prstGeom prst="rect">
                      <a:avLst/>
                    </a:prstGeom>
                    <a:noFill/>
                    <a:ln>
                      <a:noFill/>
                    </a:ln>
                  </pic:spPr>
                </pic:pic>
              </a:graphicData>
            </a:graphic>
          </wp:inline>
        </w:drawing>
      </w:r>
    </w:p>
    <w:tbl>
      <w:tblPr>
        <w:tblStyle w:val="Style1"/>
        <w:tblW w:w="0" w:type="auto"/>
        <w:tblLook w:val="0000" w:firstRow="0" w:lastRow="0" w:firstColumn="0" w:lastColumn="0" w:noHBand="0" w:noVBand="0"/>
      </w:tblPr>
      <w:tblGrid>
        <w:gridCol w:w="3388"/>
        <w:gridCol w:w="4921"/>
      </w:tblGrid>
      <w:tr w:rsidR="00A160B2" w14:paraId="3E9231EB" w14:textId="77777777" w:rsidTr="00CC2663">
        <w:trPr>
          <w:tblHeader/>
        </w:trPr>
        <w:tc>
          <w:tcPr>
            <w:tcW w:w="3388" w:type="dxa"/>
            <w:tcBorders>
              <w:top w:val="single" w:sz="18" w:space="0" w:color="auto"/>
              <w:bottom w:val="single" w:sz="18" w:space="0" w:color="auto"/>
            </w:tcBorders>
          </w:tcPr>
          <w:p w14:paraId="2EDC0AA9" w14:textId="309DFE1C" w:rsidR="00A160B2" w:rsidRPr="00B805DB" w:rsidRDefault="00CC2663" w:rsidP="00603EC9">
            <w:pPr>
              <w:pStyle w:val="Heading1"/>
              <w:spacing w:after="240"/>
            </w:pPr>
            <w:r>
              <w:t>REPORT F</w:t>
            </w:r>
            <w:r w:rsidRPr="00C869F3">
              <w:t>OR:</w:t>
            </w:r>
          </w:p>
        </w:tc>
        <w:tc>
          <w:tcPr>
            <w:tcW w:w="4921" w:type="dxa"/>
            <w:tcBorders>
              <w:top w:val="single" w:sz="18" w:space="0" w:color="auto"/>
              <w:bottom w:val="single" w:sz="18" w:space="0" w:color="auto"/>
            </w:tcBorders>
          </w:tcPr>
          <w:p w14:paraId="6E67C462" w14:textId="77777777" w:rsidR="00A160B2" w:rsidRDefault="00784A42" w:rsidP="00784A42">
            <w:pPr>
              <w:pStyle w:val="Heading1"/>
            </w:pPr>
            <w:r>
              <w:t>Pension Fund C</w:t>
            </w:r>
            <w:r w:rsidR="00A160B2">
              <w:t>ommittee</w:t>
            </w:r>
          </w:p>
          <w:p w14:paraId="55A88F66" w14:textId="45EE9F72" w:rsidR="00784A42" w:rsidRPr="00784A42" w:rsidRDefault="00784A42" w:rsidP="00784A42"/>
        </w:tc>
      </w:tr>
      <w:tr w:rsidR="00A160B2" w14:paraId="5281F5A9" w14:textId="77777777" w:rsidTr="00CC2663">
        <w:tc>
          <w:tcPr>
            <w:tcW w:w="3388" w:type="dxa"/>
            <w:tcBorders>
              <w:top w:val="single" w:sz="18" w:space="0" w:color="auto"/>
            </w:tcBorders>
          </w:tcPr>
          <w:p w14:paraId="1C16A2F0" w14:textId="77777777" w:rsidR="00CC2663" w:rsidRDefault="00CC2663" w:rsidP="00603EC9">
            <w:pPr>
              <w:pStyle w:val="Infotext"/>
              <w:rPr>
                <w:rFonts w:ascii="Arial Black" w:hAnsi="Arial Black"/>
              </w:rPr>
            </w:pPr>
          </w:p>
          <w:p w14:paraId="0991D380" w14:textId="18980C25" w:rsidR="00A160B2" w:rsidRPr="00F92398" w:rsidRDefault="00A160B2" w:rsidP="00603EC9">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03EC9">
            <w:pPr>
              <w:pStyle w:val="Infotext"/>
              <w:rPr>
                <w:rFonts w:ascii="Arial Black" w:hAnsi="Arial Black" w:cs="Arial"/>
              </w:rPr>
            </w:pPr>
          </w:p>
        </w:tc>
        <w:tc>
          <w:tcPr>
            <w:tcW w:w="4921" w:type="dxa"/>
            <w:tcBorders>
              <w:top w:val="single" w:sz="18" w:space="0" w:color="auto"/>
            </w:tcBorders>
          </w:tcPr>
          <w:p w14:paraId="28B3E655" w14:textId="77777777" w:rsidR="00CC2663" w:rsidRPr="00CC2663" w:rsidRDefault="00CC2663" w:rsidP="00603EC9">
            <w:pPr>
              <w:pStyle w:val="Infotext"/>
              <w:rPr>
                <w:rFonts w:cs="Arial"/>
                <w:sz w:val="30"/>
                <w:szCs w:val="30"/>
              </w:rPr>
            </w:pPr>
          </w:p>
          <w:p w14:paraId="495EBCE8" w14:textId="31241B32" w:rsidR="00A160B2" w:rsidRPr="00CC2663" w:rsidRDefault="0061409C" w:rsidP="00603EC9">
            <w:pPr>
              <w:pStyle w:val="Infotext"/>
              <w:rPr>
                <w:rFonts w:cs="Arial"/>
                <w:szCs w:val="28"/>
              </w:rPr>
            </w:pPr>
            <w:r>
              <w:rPr>
                <w:rFonts w:cs="Arial"/>
                <w:szCs w:val="28"/>
              </w:rPr>
              <w:t>30</w:t>
            </w:r>
            <w:r w:rsidR="001C5A26" w:rsidRPr="00CC2663">
              <w:rPr>
                <w:rFonts w:cs="Arial"/>
                <w:szCs w:val="28"/>
              </w:rPr>
              <w:t xml:space="preserve"> </w:t>
            </w:r>
            <w:r>
              <w:rPr>
                <w:rFonts w:cs="Arial"/>
                <w:szCs w:val="28"/>
              </w:rPr>
              <w:t>Octo</w:t>
            </w:r>
            <w:r w:rsidR="00F65E9D">
              <w:rPr>
                <w:rFonts w:cs="Arial"/>
                <w:szCs w:val="28"/>
              </w:rPr>
              <w:t>ber</w:t>
            </w:r>
            <w:r w:rsidR="00351F6B" w:rsidRPr="00CC2663">
              <w:rPr>
                <w:rFonts w:cs="Arial"/>
                <w:szCs w:val="28"/>
              </w:rPr>
              <w:t xml:space="preserve"> 2023</w:t>
            </w:r>
          </w:p>
        </w:tc>
      </w:tr>
      <w:tr w:rsidR="00A160B2" w14:paraId="79B879D4" w14:textId="77777777" w:rsidTr="007855AE">
        <w:tc>
          <w:tcPr>
            <w:tcW w:w="3388" w:type="dxa"/>
          </w:tcPr>
          <w:p w14:paraId="5EBA2504" w14:textId="77777777" w:rsidR="00A160B2" w:rsidRPr="00F92398" w:rsidRDefault="00A160B2" w:rsidP="00603EC9">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03EC9">
            <w:pPr>
              <w:pStyle w:val="Infotext"/>
              <w:rPr>
                <w:rFonts w:ascii="Arial Black" w:hAnsi="Arial Black"/>
              </w:rPr>
            </w:pPr>
          </w:p>
        </w:tc>
        <w:tc>
          <w:tcPr>
            <w:tcW w:w="4921" w:type="dxa"/>
          </w:tcPr>
          <w:p w14:paraId="5847A9A1" w14:textId="77777777" w:rsidR="00A160B2" w:rsidRDefault="005372C0" w:rsidP="00603EC9">
            <w:pPr>
              <w:pStyle w:val="Infotext"/>
            </w:pPr>
            <w:r>
              <w:t>Draft Pension Fund Annual report for 2022-23</w:t>
            </w:r>
          </w:p>
          <w:p w14:paraId="5914456E" w14:textId="09DC020F" w:rsidR="006E6EE8" w:rsidRDefault="006E6EE8" w:rsidP="00603EC9">
            <w:pPr>
              <w:pStyle w:val="Infotext"/>
              <w:rPr>
                <w:rFonts w:cs="Arial"/>
              </w:rPr>
            </w:pPr>
          </w:p>
        </w:tc>
      </w:tr>
      <w:tr w:rsidR="00A160B2" w14:paraId="3A5E0F07" w14:textId="77777777" w:rsidTr="007855AE">
        <w:tc>
          <w:tcPr>
            <w:tcW w:w="3388" w:type="dxa"/>
          </w:tcPr>
          <w:p w14:paraId="3526B74C" w14:textId="77777777" w:rsidR="00A160B2" w:rsidRPr="00F92398" w:rsidRDefault="00A160B2" w:rsidP="00603EC9">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03EC9">
            <w:pPr>
              <w:pStyle w:val="Infotext"/>
              <w:rPr>
                <w:rFonts w:ascii="Arial Black" w:hAnsi="Arial Black" w:cs="Arial"/>
              </w:rPr>
            </w:pPr>
          </w:p>
        </w:tc>
        <w:tc>
          <w:tcPr>
            <w:tcW w:w="4921" w:type="dxa"/>
          </w:tcPr>
          <w:p w14:paraId="7CF62450" w14:textId="77777777" w:rsidR="00A160B2" w:rsidRDefault="00837FA7" w:rsidP="00603EC9">
            <w:pPr>
              <w:pStyle w:val="Infotext"/>
              <w:rPr>
                <w:rFonts w:cs="Arial"/>
              </w:rPr>
            </w:pPr>
            <w:r>
              <w:rPr>
                <w:rFonts w:cs="Arial"/>
              </w:rPr>
              <w:t>Sharon Daniels</w:t>
            </w:r>
            <w:r w:rsidR="001C7629">
              <w:rPr>
                <w:rFonts w:cs="Arial"/>
              </w:rPr>
              <w:t xml:space="preserve"> – </w:t>
            </w:r>
            <w:r w:rsidR="00E72D2A">
              <w:rPr>
                <w:rFonts w:cs="Arial"/>
              </w:rPr>
              <w:t>Interim</w:t>
            </w:r>
            <w:r>
              <w:rPr>
                <w:rFonts w:cs="Arial"/>
              </w:rPr>
              <w:t xml:space="preserve"> </w:t>
            </w:r>
            <w:r w:rsidR="001C7629">
              <w:rPr>
                <w:rFonts w:cs="Arial"/>
              </w:rPr>
              <w:t xml:space="preserve">Director of Finance and Assurance </w:t>
            </w:r>
          </w:p>
          <w:p w14:paraId="3CF266C9" w14:textId="33632102" w:rsidR="006E6EE8" w:rsidRDefault="006E6EE8" w:rsidP="00603EC9">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03EC9">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03EC9">
            <w:pPr>
              <w:pStyle w:val="Infotext"/>
              <w:rPr>
                <w:rFonts w:ascii="Arial Black" w:hAnsi="Arial Black" w:cs="Arial"/>
              </w:rPr>
            </w:pPr>
          </w:p>
        </w:tc>
        <w:tc>
          <w:tcPr>
            <w:tcW w:w="4921" w:type="dxa"/>
          </w:tcPr>
          <w:p w14:paraId="4C873B59" w14:textId="425F2ACD" w:rsidR="00A160B2" w:rsidRDefault="001C7629" w:rsidP="00480F0B">
            <w:pPr>
              <w:pStyle w:val="Infotext"/>
              <w:rPr>
                <w:rFonts w:cs="Arial"/>
              </w:rPr>
            </w:pPr>
            <w:r>
              <w:rPr>
                <w:rFonts w:cs="Arial"/>
                <w:szCs w:val="28"/>
              </w:rPr>
              <w:t xml:space="preserve">No </w:t>
            </w:r>
          </w:p>
        </w:tc>
      </w:tr>
      <w:tr w:rsidR="00A160B2" w14:paraId="521D9222" w14:textId="77777777" w:rsidTr="007855AE">
        <w:tc>
          <w:tcPr>
            <w:tcW w:w="3388" w:type="dxa"/>
          </w:tcPr>
          <w:p w14:paraId="4ABD9246" w14:textId="77777777" w:rsidR="00A160B2" w:rsidRDefault="00A160B2" w:rsidP="00603EC9">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03EC9">
            <w:pPr>
              <w:pStyle w:val="Infotext"/>
              <w:rPr>
                <w:rFonts w:ascii="Arial Black" w:hAnsi="Arial Black" w:cs="Arial"/>
              </w:rPr>
            </w:pPr>
          </w:p>
        </w:tc>
        <w:tc>
          <w:tcPr>
            <w:tcW w:w="4921" w:type="dxa"/>
          </w:tcPr>
          <w:p w14:paraId="6CD568AC" w14:textId="425D312D" w:rsidR="00A160B2" w:rsidRPr="006E6EE8" w:rsidRDefault="00017448" w:rsidP="00603EC9">
            <w:pPr>
              <w:pStyle w:val="Infotext"/>
              <w:rPr>
                <w:bCs/>
              </w:rPr>
            </w:pPr>
            <w:r w:rsidRPr="006E6EE8">
              <w:rPr>
                <w:bCs/>
              </w:rPr>
              <w:t>None</w:t>
            </w:r>
          </w:p>
        </w:tc>
      </w:tr>
      <w:tr w:rsidR="00A160B2" w14:paraId="7C35C184" w14:textId="77777777" w:rsidTr="005D43D1">
        <w:trPr>
          <w:trHeight w:val="4209"/>
        </w:trPr>
        <w:tc>
          <w:tcPr>
            <w:tcW w:w="3388" w:type="dxa"/>
          </w:tcPr>
          <w:p w14:paraId="537C01BC" w14:textId="77777777" w:rsidR="00A160B2" w:rsidRPr="00F92398" w:rsidRDefault="00A160B2" w:rsidP="00603EC9">
            <w:pPr>
              <w:pStyle w:val="Infotext"/>
              <w:rPr>
                <w:rFonts w:ascii="Arial Black" w:hAnsi="Arial Black" w:cs="Arial"/>
              </w:rPr>
            </w:pPr>
          </w:p>
          <w:p w14:paraId="575B6BE7" w14:textId="77777777" w:rsidR="00A160B2" w:rsidRPr="00F92398" w:rsidRDefault="00A160B2" w:rsidP="00603EC9">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03EC9">
            <w:pPr>
              <w:pStyle w:val="Infotext"/>
              <w:rPr>
                <w:rFonts w:ascii="Arial Black" w:hAnsi="Arial Black" w:cs="Arial"/>
              </w:rPr>
            </w:pPr>
          </w:p>
        </w:tc>
        <w:tc>
          <w:tcPr>
            <w:tcW w:w="4921" w:type="dxa"/>
          </w:tcPr>
          <w:p w14:paraId="71119F8F" w14:textId="77777777" w:rsidR="00A160B2" w:rsidRPr="005D43D1" w:rsidRDefault="00A160B2" w:rsidP="00603EC9">
            <w:pPr>
              <w:pStyle w:val="Infotext"/>
            </w:pPr>
          </w:p>
          <w:p w14:paraId="4C232B02" w14:textId="64B803F4" w:rsidR="0082172F" w:rsidRPr="001A319C" w:rsidRDefault="00480F0B" w:rsidP="001A319C">
            <w:pPr>
              <w:pStyle w:val="Infotext"/>
              <w:tabs>
                <w:tab w:val="center" w:pos="2352"/>
              </w:tabs>
              <w:rPr>
                <w:b/>
                <w:bCs/>
                <w:sz w:val="24"/>
                <w:szCs w:val="24"/>
              </w:rPr>
            </w:pPr>
            <w:r>
              <w:t>Appendix – 1 Draft Pension Fund Annual report for 2022-23</w:t>
            </w:r>
          </w:p>
        </w:tc>
      </w:tr>
    </w:tbl>
    <w:p w14:paraId="18A939CB" w14:textId="3BC79E4F" w:rsidR="007855AE" w:rsidRDefault="007855AE"/>
    <w:p w14:paraId="74111B2E" w14:textId="77777777" w:rsidR="0061409C" w:rsidRDefault="006140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7855AE">
        <w:trPr>
          <w:tblHeader/>
        </w:trPr>
        <w:tc>
          <w:tcPr>
            <w:tcW w:w="8309" w:type="dxa"/>
            <w:tcBorders>
              <w:left w:val="nil"/>
              <w:bottom w:val="nil"/>
              <w:right w:val="nil"/>
            </w:tcBorders>
          </w:tcPr>
          <w:p w14:paraId="7DD9EA65" w14:textId="44CA4120" w:rsidR="00480F0B" w:rsidRDefault="00480F0B" w:rsidP="00480F0B">
            <w:pPr>
              <w:jc w:val="both"/>
              <w:rPr>
                <w:rFonts w:cs="Arial"/>
                <w:szCs w:val="24"/>
              </w:rPr>
            </w:pPr>
            <w:r>
              <w:rPr>
                <w:rFonts w:cs="Arial"/>
                <w:szCs w:val="24"/>
                <w:lang w:eastAsia="en-GB"/>
              </w:rPr>
              <w:t xml:space="preserve">This report presents the draft </w:t>
            </w:r>
            <w:r>
              <w:rPr>
                <w:rFonts w:cs="Arial"/>
              </w:rPr>
              <w:t>Pension Fund Annual Report for the year ended 31 March 2023</w:t>
            </w:r>
            <w:r>
              <w:rPr>
                <w:rFonts w:cs="Arial"/>
                <w:szCs w:val="24"/>
              </w:rPr>
              <w:t xml:space="preserve">. </w:t>
            </w:r>
          </w:p>
          <w:p w14:paraId="2C9E4A81" w14:textId="77777777" w:rsidR="00A160B2" w:rsidRDefault="00A160B2" w:rsidP="00F65E9D">
            <w:pPr>
              <w:jc w:val="both"/>
              <w:rPr>
                <w:rFonts w:ascii="Arial Bold" w:hAnsi="Arial Bold"/>
                <w:b/>
                <w:sz w:val="28"/>
              </w:rPr>
            </w:pPr>
          </w:p>
          <w:p w14:paraId="4F9D0A08" w14:textId="77777777" w:rsidR="00A160B2" w:rsidRPr="00A160B2" w:rsidRDefault="00A160B2" w:rsidP="00F65E9D">
            <w:pPr>
              <w:jc w:val="both"/>
              <w:rPr>
                <w:rFonts w:ascii="Arial Bold" w:hAnsi="Arial Bold"/>
                <w:b/>
                <w:sz w:val="28"/>
              </w:rPr>
            </w:pPr>
            <w:r w:rsidRPr="00A160B2">
              <w:rPr>
                <w:rFonts w:ascii="Arial Bold" w:hAnsi="Arial Bold"/>
                <w:b/>
                <w:sz w:val="28"/>
              </w:rPr>
              <w:t xml:space="preserve">Recommendations: </w:t>
            </w:r>
          </w:p>
          <w:p w14:paraId="714CBDEE" w14:textId="7DAB9D89" w:rsidR="00A160B2" w:rsidRDefault="00480F0B" w:rsidP="00F65E9D">
            <w:pPr>
              <w:jc w:val="both"/>
            </w:pPr>
            <w:r>
              <w:t xml:space="preserve">The </w:t>
            </w:r>
            <w:r w:rsidR="0061409C">
              <w:t>Board</w:t>
            </w:r>
            <w:r>
              <w:t xml:space="preserve"> is </w:t>
            </w:r>
            <w:r>
              <w:rPr>
                <w:b/>
                <w:bCs/>
              </w:rPr>
              <w:t>recommended</w:t>
            </w:r>
            <w:r>
              <w:t xml:space="preserve"> to </w:t>
            </w:r>
            <w:r w:rsidR="0061409C">
              <w:t>note</w:t>
            </w:r>
            <w:r>
              <w:t xml:space="preserve"> the draft Pension Fund Annual Report for 2022-23.  </w:t>
            </w:r>
          </w:p>
        </w:tc>
      </w:tr>
    </w:tbl>
    <w:p w14:paraId="53DC7DE2" w14:textId="77777777" w:rsidR="002A2389" w:rsidRDefault="002A2389" w:rsidP="00A160B2">
      <w:pPr>
        <w:pStyle w:val="Heading2"/>
      </w:pPr>
      <w:r>
        <w:t>Section 2 – Report</w:t>
      </w:r>
    </w:p>
    <w:p w14:paraId="572C1A5F" w14:textId="77777777" w:rsidR="001C7629" w:rsidRPr="00755241" w:rsidRDefault="001C7629" w:rsidP="001C7629"/>
    <w:p w14:paraId="3974CA62" w14:textId="77777777" w:rsidR="00480F0B" w:rsidRDefault="00480F0B" w:rsidP="00346244">
      <w:pPr>
        <w:numPr>
          <w:ilvl w:val="0"/>
          <w:numId w:val="40"/>
        </w:numPr>
        <w:tabs>
          <w:tab w:val="num" w:pos="284"/>
        </w:tabs>
        <w:ind w:left="284" w:hanging="851"/>
        <w:jc w:val="both"/>
      </w:pPr>
      <w:bookmarkStart w:id="0" w:name="_Hlk74148209"/>
      <w:r>
        <w:t xml:space="preserve">The Accounts and Audit (England) Regulations 2015, require Local Authorities to prepare Statement of Accounts in accordance with proper practices. Previous timetable deadlines have meant that the draft Statement of Accounts must be published by 31st May with the audited version being published by 31st July each year. </w:t>
      </w:r>
    </w:p>
    <w:p w14:paraId="28A0823D" w14:textId="77777777" w:rsidR="00480F0B" w:rsidRDefault="00480F0B" w:rsidP="00CF5370">
      <w:pPr>
        <w:pStyle w:val="ListParagraph"/>
        <w:jc w:val="both"/>
      </w:pPr>
    </w:p>
    <w:p w14:paraId="1F34A917" w14:textId="20E5FB4F" w:rsidR="00480F0B" w:rsidRDefault="00480F0B" w:rsidP="00346244">
      <w:pPr>
        <w:numPr>
          <w:ilvl w:val="0"/>
          <w:numId w:val="40"/>
        </w:numPr>
        <w:ind w:left="284" w:hanging="851"/>
        <w:jc w:val="both"/>
      </w:pPr>
      <w:r>
        <w:t xml:space="preserve">The audited Pension Fund Annual Report is required to be published by 1 December 2023 – this requirement has not changed. The draft annual report (which contains the 2022-23 Pension Fund Accounts) is enclosed as </w:t>
      </w:r>
      <w:r>
        <w:rPr>
          <w:b/>
          <w:bCs/>
        </w:rPr>
        <w:t>Appendix 1</w:t>
      </w:r>
      <w:r>
        <w:t>.</w:t>
      </w:r>
    </w:p>
    <w:p w14:paraId="7F379887" w14:textId="77777777" w:rsidR="006E6EE8" w:rsidRDefault="006E6EE8" w:rsidP="006E6EE8">
      <w:pPr>
        <w:pStyle w:val="ListParagraph"/>
      </w:pPr>
    </w:p>
    <w:p w14:paraId="12E37499" w14:textId="1F9D65B8" w:rsidR="006E6EE8" w:rsidRDefault="006E6EE8" w:rsidP="006E6EE8">
      <w:pPr>
        <w:numPr>
          <w:ilvl w:val="0"/>
          <w:numId w:val="40"/>
        </w:numPr>
        <w:tabs>
          <w:tab w:val="num" w:pos="284"/>
        </w:tabs>
        <w:ind w:left="284" w:hanging="851"/>
        <w:jc w:val="both"/>
      </w:pPr>
      <w:r>
        <w:t xml:space="preserve">The audit is again would carry out by Mazars. Their “Audit Strategy Memorandum”, which would set out their plan for carrying out the audit of the Pension Fund Accounts is yet to be submitted. </w:t>
      </w:r>
    </w:p>
    <w:p w14:paraId="42479253" w14:textId="77777777" w:rsidR="00480F0B" w:rsidRDefault="00480F0B" w:rsidP="00CF5370">
      <w:pPr>
        <w:pStyle w:val="ListParagraph"/>
        <w:jc w:val="both"/>
      </w:pPr>
    </w:p>
    <w:p w14:paraId="02EC2C2F" w14:textId="7453FDD6" w:rsidR="00480F0B" w:rsidRDefault="00480F0B" w:rsidP="00346244">
      <w:pPr>
        <w:numPr>
          <w:ilvl w:val="0"/>
          <w:numId w:val="40"/>
        </w:numPr>
        <w:ind w:left="284" w:hanging="851"/>
        <w:jc w:val="both"/>
      </w:pPr>
      <w:r>
        <w:t xml:space="preserve">The </w:t>
      </w:r>
      <w:r w:rsidR="000D1159">
        <w:t xml:space="preserve">2021/22 </w:t>
      </w:r>
      <w:r>
        <w:t xml:space="preserve">audit of accounts is </w:t>
      </w:r>
      <w:r w:rsidR="000D1159">
        <w:t xml:space="preserve">still </w:t>
      </w:r>
      <w:r>
        <w:t>in progress, and the outcome will be reported to the Committee’s next meeting on 21 November 2023</w:t>
      </w:r>
      <w:r w:rsidR="006E40AD">
        <w:t xml:space="preserve"> and the Board’s next meeting on 11 December 2023</w:t>
      </w:r>
      <w:r w:rsidR="000D1159">
        <w:t xml:space="preserve">. </w:t>
      </w:r>
      <w:bookmarkEnd w:id="0"/>
    </w:p>
    <w:p w14:paraId="437542D2" w14:textId="77777777" w:rsidR="006E6EE8" w:rsidRDefault="006E6EE8" w:rsidP="006E6EE8">
      <w:pPr>
        <w:pStyle w:val="ListParagraph"/>
      </w:pPr>
    </w:p>
    <w:p w14:paraId="27B98996" w14:textId="77777777" w:rsidR="006E6EE8" w:rsidRPr="006E6EE8" w:rsidRDefault="006E6EE8" w:rsidP="006E6EE8">
      <w:pPr>
        <w:numPr>
          <w:ilvl w:val="0"/>
          <w:numId w:val="40"/>
        </w:numPr>
        <w:tabs>
          <w:tab w:val="num" w:pos="284"/>
        </w:tabs>
        <w:ind w:left="284" w:hanging="851"/>
        <w:jc w:val="both"/>
      </w:pPr>
      <w:r w:rsidRPr="006E6EE8">
        <w:t>The Governance, Audit, Risk Management and Standards (GARMS) Committee has the ultimate responsibility for receiving, considering and agreeing audit plans as well as receiving any reports arising from the audit, they are yet to receive the 2022/23 Accounts, as there is a delay by MAZARS in completing 2021/22 audit combined with the delay in completing the Council’s assets valuation work. At the last GARMS Committee meeting, the auditors advised the Committee that the 2022/23 account is set to be audited from December 2023, although we are yet to receive the Audit Strategy Memorandum for this audit work.</w:t>
      </w:r>
    </w:p>
    <w:p w14:paraId="51FF797C" w14:textId="77777777" w:rsidR="000D1159" w:rsidRDefault="000D1159" w:rsidP="00CF5370">
      <w:pPr>
        <w:pStyle w:val="ListParagraph"/>
        <w:jc w:val="both"/>
      </w:pPr>
    </w:p>
    <w:p w14:paraId="189CAA5B" w14:textId="42C28C16" w:rsidR="00CF1560" w:rsidRDefault="00480F0B" w:rsidP="00346244">
      <w:pPr>
        <w:numPr>
          <w:ilvl w:val="0"/>
          <w:numId w:val="40"/>
        </w:numPr>
        <w:tabs>
          <w:tab w:val="num" w:pos="284"/>
        </w:tabs>
        <w:ind w:left="284" w:hanging="851"/>
        <w:jc w:val="both"/>
        <w:rPr>
          <w:rFonts w:cs="Arial"/>
          <w:bCs/>
          <w:szCs w:val="24"/>
        </w:rPr>
      </w:pPr>
      <w:r>
        <w:rPr>
          <w:rFonts w:cs="Arial"/>
          <w:bCs/>
          <w:szCs w:val="24"/>
        </w:rPr>
        <w:t xml:space="preserve">To assist in the </w:t>
      </w:r>
      <w:r w:rsidR="006E40AD">
        <w:rPr>
          <w:rFonts w:cs="Arial"/>
          <w:bCs/>
          <w:szCs w:val="24"/>
        </w:rPr>
        <w:t>Board</w:t>
      </w:r>
      <w:r>
        <w:rPr>
          <w:rFonts w:cs="Arial"/>
          <w:bCs/>
          <w:szCs w:val="24"/>
        </w:rPr>
        <w:t>’s consideration of this matter they are advised of the following key points:</w:t>
      </w:r>
    </w:p>
    <w:p w14:paraId="4D403023" w14:textId="77777777" w:rsidR="00CF1560" w:rsidRDefault="00CF1560" w:rsidP="00CF1560">
      <w:pPr>
        <w:pStyle w:val="ListParagraph"/>
        <w:rPr>
          <w:bCs/>
          <w:szCs w:val="24"/>
          <w:u w:val="single"/>
        </w:rPr>
      </w:pPr>
    </w:p>
    <w:p w14:paraId="78B1AB89" w14:textId="77777777" w:rsidR="00CF1560" w:rsidRPr="00CF1560" w:rsidRDefault="00480F0B" w:rsidP="00CF1560">
      <w:pPr>
        <w:ind w:left="284"/>
        <w:rPr>
          <w:rFonts w:cs="Arial"/>
          <w:b/>
          <w:szCs w:val="24"/>
        </w:rPr>
      </w:pPr>
      <w:r w:rsidRPr="00CF1560">
        <w:rPr>
          <w:b/>
          <w:szCs w:val="24"/>
          <w:u w:val="single"/>
        </w:rPr>
        <w:t>Fund Revenue Account</w:t>
      </w:r>
    </w:p>
    <w:p w14:paraId="530EA446" w14:textId="77777777" w:rsidR="00CF1560" w:rsidRDefault="00CF1560" w:rsidP="00CF1560">
      <w:pPr>
        <w:pStyle w:val="ListParagraph"/>
        <w:rPr>
          <w:bCs/>
          <w:szCs w:val="24"/>
        </w:rPr>
      </w:pPr>
    </w:p>
    <w:p w14:paraId="7804769D" w14:textId="67AF5A52" w:rsidR="00CF1560" w:rsidRPr="006E6EE8" w:rsidRDefault="00480F0B" w:rsidP="00346244">
      <w:pPr>
        <w:numPr>
          <w:ilvl w:val="0"/>
          <w:numId w:val="40"/>
        </w:numPr>
        <w:ind w:left="284" w:hanging="851"/>
        <w:jc w:val="both"/>
        <w:rPr>
          <w:szCs w:val="24"/>
        </w:rPr>
      </w:pPr>
      <w:r w:rsidRPr="006E6EE8">
        <w:rPr>
          <w:szCs w:val="24"/>
        </w:rPr>
        <w:t xml:space="preserve">During the year 2022-23, the net assets of the Fund </w:t>
      </w:r>
      <w:r w:rsidR="00CF1560" w:rsidRPr="006E6EE8">
        <w:rPr>
          <w:szCs w:val="24"/>
        </w:rPr>
        <w:t>reduced</w:t>
      </w:r>
      <w:r w:rsidRPr="006E6EE8">
        <w:rPr>
          <w:szCs w:val="24"/>
        </w:rPr>
        <w:t xml:space="preserve"> from £1,018m</w:t>
      </w:r>
      <w:r w:rsidR="00CF1560" w:rsidRPr="006E6EE8">
        <w:rPr>
          <w:szCs w:val="24"/>
        </w:rPr>
        <w:t xml:space="preserve"> to £954.8m</w:t>
      </w:r>
      <w:r w:rsidRPr="006E6EE8">
        <w:rPr>
          <w:szCs w:val="24"/>
        </w:rPr>
        <w:t xml:space="preserve">. This reflected the continued </w:t>
      </w:r>
      <w:r w:rsidR="00CF1560" w:rsidRPr="006E6EE8">
        <w:rPr>
          <w:szCs w:val="24"/>
        </w:rPr>
        <w:t>volatility</w:t>
      </w:r>
      <w:r w:rsidRPr="006E6EE8">
        <w:rPr>
          <w:szCs w:val="24"/>
        </w:rPr>
        <w:t xml:space="preserve"> of investment markets in 2023.</w:t>
      </w:r>
    </w:p>
    <w:p w14:paraId="114B35FB" w14:textId="77777777" w:rsidR="00BC7689" w:rsidRPr="006E6EE8" w:rsidRDefault="00BC7689" w:rsidP="00BC7689">
      <w:pPr>
        <w:ind w:left="284"/>
        <w:jc w:val="both"/>
        <w:rPr>
          <w:szCs w:val="24"/>
        </w:rPr>
      </w:pPr>
    </w:p>
    <w:p w14:paraId="3669A731" w14:textId="77777777" w:rsidR="00BC7689" w:rsidRPr="006E6EE8" w:rsidRDefault="00BC7689" w:rsidP="00346244">
      <w:pPr>
        <w:numPr>
          <w:ilvl w:val="0"/>
          <w:numId w:val="40"/>
        </w:numPr>
        <w:ind w:left="284" w:hanging="851"/>
        <w:jc w:val="both"/>
        <w:rPr>
          <w:szCs w:val="24"/>
        </w:rPr>
      </w:pPr>
      <w:r w:rsidRPr="006E6EE8">
        <w:rPr>
          <w:szCs w:val="24"/>
        </w:rPr>
        <w:lastRenderedPageBreak/>
        <w:t xml:space="preserve">The Accounts comprise two main statements with supporting notes. The main statements are: </w:t>
      </w:r>
    </w:p>
    <w:p w14:paraId="0E3FC81D" w14:textId="77777777" w:rsidR="00BC7689" w:rsidRPr="006E6EE8" w:rsidRDefault="00BC7689" w:rsidP="00BC7689">
      <w:pPr>
        <w:pStyle w:val="ListParagraph"/>
        <w:rPr>
          <w:sz w:val="24"/>
          <w:szCs w:val="24"/>
        </w:rPr>
      </w:pPr>
    </w:p>
    <w:p w14:paraId="76DC8798" w14:textId="054AD340" w:rsidR="00BC7689" w:rsidRPr="006E6EE8" w:rsidRDefault="00BC7689" w:rsidP="00BC7689">
      <w:pPr>
        <w:pStyle w:val="ListParagraph"/>
        <w:numPr>
          <w:ilvl w:val="0"/>
          <w:numId w:val="43"/>
        </w:numPr>
        <w:jc w:val="both"/>
        <w:rPr>
          <w:sz w:val="24"/>
          <w:szCs w:val="24"/>
        </w:rPr>
      </w:pPr>
      <w:r w:rsidRPr="006E6EE8">
        <w:rPr>
          <w:sz w:val="24"/>
          <w:szCs w:val="24"/>
        </w:rPr>
        <w:t xml:space="preserve">Dealings with Members Employers and Others which is essentially the fund’s revenue account; and </w:t>
      </w:r>
    </w:p>
    <w:p w14:paraId="1B4F5CFD" w14:textId="2648FA7D" w:rsidR="00BC7689" w:rsidRPr="006E6EE8" w:rsidRDefault="00BC7689" w:rsidP="00BC7689">
      <w:pPr>
        <w:pStyle w:val="ListParagraph"/>
        <w:numPr>
          <w:ilvl w:val="0"/>
          <w:numId w:val="43"/>
        </w:numPr>
        <w:jc w:val="both"/>
        <w:rPr>
          <w:sz w:val="24"/>
          <w:szCs w:val="24"/>
        </w:rPr>
      </w:pPr>
      <w:r w:rsidRPr="006E6EE8">
        <w:rPr>
          <w:sz w:val="24"/>
          <w:szCs w:val="24"/>
        </w:rPr>
        <w:t xml:space="preserve">The Net Assets Statement which can be considered as the fund’s balance sheet. </w:t>
      </w:r>
    </w:p>
    <w:p w14:paraId="34B1FDB0" w14:textId="77777777" w:rsidR="00BC7689" w:rsidRPr="006E6EE8" w:rsidRDefault="00BC7689" w:rsidP="00BC7689">
      <w:pPr>
        <w:ind w:left="284"/>
        <w:jc w:val="both"/>
        <w:rPr>
          <w:szCs w:val="24"/>
        </w:rPr>
      </w:pPr>
    </w:p>
    <w:p w14:paraId="198F0AD1" w14:textId="77777777" w:rsidR="00BC7689" w:rsidRPr="006E6EE8" w:rsidRDefault="00BC7689" w:rsidP="00346244">
      <w:pPr>
        <w:numPr>
          <w:ilvl w:val="0"/>
          <w:numId w:val="40"/>
        </w:numPr>
        <w:ind w:left="284" w:hanging="851"/>
        <w:jc w:val="both"/>
        <w:rPr>
          <w:szCs w:val="24"/>
        </w:rPr>
      </w:pPr>
      <w:r w:rsidRPr="006E6EE8">
        <w:rPr>
          <w:szCs w:val="24"/>
        </w:rPr>
        <w:t xml:space="preserve">The return on investment section of the accounts sets out the movement in the net worth of the fund in the year by analysing the relevant financial transactions and movements in the market value of the investment portfolio. The statement has two main sections: </w:t>
      </w:r>
    </w:p>
    <w:p w14:paraId="248BCBF6" w14:textId="221C71A3" w:rsidR="00BC7689" w:rsidRPr="006E6EE8" w:rsidRDefault="00BC7689" w:rsidP="00BC7689">
      <w:pPr>
        <w:pStyle w:val="ListParagraph"/>
        <w:numPr>
          <w:ilvl w:val="0"/>
          <w:numId w:val="44"/>
        </w:numPr>
        <w:jc w:val="both"/>
        <w:rPr>
          <w:sz w:val="24"/>
          <w:szCs w:val="24"/>
        </w:rPr>
      </w:pPr>
      <w:r w:rsidRPr="006E6EE8">
        <w:rPr>
          <w:sz w:val="24"/>
          <w:szCs w:val="24"/>
        </w:rPr>
        <w:t xml:space="preserve">The financial transactions relating to the administration of the fund; and </w:t>
      </w:r>
    </w:p>
    <w:p w14:paraId="69532582" w14:textId="0752B499" w:rsidR="00BC7689" w:rsidRPr="006E6EE8" w:rsidRDefault="00BC7689" w:rsidP="00BC7689">
      <w:pPr>
        <w:pStyle w:val="ListParagraph"/>
        <w:numPr>
          <w:ilvl w:val="0"/>
          <w:numId w:val="44"/>
        </w:numPr>
        <w:jc w:val="both"/>
        <w:rPr>
          <w:sz w:val="24"/>
          <w:szCs w:val="24"/>
        </w:rPr>
      </w:pPr>
      <w:r w:rsidRPr="006E6EE8">
        <w:rPr>
          <w:sz w:val="24"/>
          <w:szCs w:val="24"/>
        </w:rPr>
        <w:t xml:space="preserve">The transactions relating to its role as an investor. </w:t>
      </w:r>
    </w:p>
    <w:p w14:paraId="35D2D846" w14:textId="77777777" w:rsidR="00BC7689" w:rsidRPr="006E6EE8" w:rsidRDefault="00BC7689" w:rsidP="00BC7689">
      <w:pPr>
        <w:pStyle w:val="ListParagraph"/>
        <w:rPr>
          <w:sz w:val="24"/>
          <w:szCs w:val="24"/>
        </w:rPr>
      </w:pPr>
    </w:p>
    <w:p w14:paraId="6423FF54" w14:textId="5C679AC5" w:rsidR="00BC7689" w:rsidRPr="006E6EE8" w:rsidRDefault="00BC7689" w:rsidP="00346244">
      <w:pPr>
        <w:numPr>
          <w:ilvl w:val="0"/>
          <w:numId w:val="40"/>
        </w:numPr>
        <w:ind w:left="284" w:hanging="851"/>
        <w:jc w:val="both"/>
        <w:rPr>
          <w:szCs w:val="24"/>
        </w:rPr>
      </w:pPr>
      <w:r w:rsidRPr="006E6EE8">
        <w:rPr>
          <w:szCs w:val="24"/>
        </w:rPr>
        <w:t xml:space="preserve">Overall, the Fund’s assets had </w:t>
      </w:r>
      <w:r w:rsidR="00CF5370" w:rsidRPr="006E6EE8">
        <w:rPr>
          <w:szCs w:val="24"/>
        </w:rPr>
        <w:t>decr</w:t>
      </w:r>
      <w:r w:rsidRPr="006E6EE8">
        <w:rPr>
          <w:szCs w:val="24"/>
        </w:rPr>
        <w:t>eased by £</w:t>
      </w:r>
      <w:r w:rsidR="00CF5370" w:rsidRPr="006E6EE8">
        <w:rPr>
          <w:szCs w:val="24"/>
        </w:rPr>
        <w:t>63</w:t>
      </w:r>
      <w:r w:rsidRPr="006E6EE8">
        <w:rPr>
          <w:szCs w:val="24"/>
        </w:rPr>
        <w:t xml:space="preserve">m in the financial year. The </w:t>
      </w:r>
      <w:r w:rsidR="00CF5370" w:rsidRPr="006E6EE8">
        <w:rPr>
          <w:szCs w:val="24"/>
        </w:rPr>
        <w:t>value depreciation</w:t>
      </w:r>
      <w:r w:rsidRPr="006E6EE8">
        <w:rPr>
          <w:szCs w:val="24"/>
        </w:rPr>
        <w:t xml:space="preserve"> was due to the </w:t>
      </w:r>
      <w:r w:rsidR="00CF5370" w:rsidRPr="006E6EE8">
        <w:rPr>
          <w:szCs w:val="24"/>
        </w:rPr>
        <w:t>under</w:t>
      </w:r>
      <w:r w:rsidRPr="006E6EE8">
        <w:rPr>
          <w:szCs w:val="24"/>
        </w:rPr>
        <w:t xml:space="preserve">performance of the financial markets in which the Fund held its investments and a net withdrawals of fund expenditure over income. </w:t>
      </w:r>
    </w:p>
    <w:p w14:paraId="54072051" w14:textId="77777777" w:rsidR="00BC7689" w:rsidRPr="006E6EE8" w:rsidRDefault="00BC7689" w:rsidP="00BC7689">
      <w:pPr>
        <w:pStyle w:val="ListParagraph"/>
        <w:rPr>
          <w:sz w:val="24"/>
          <w:szCs w:val="24"/>
        </w:rPr>
      </w:pPr>
    </w:p>
    <w:p w14:paraId="46277D68" w14:textId="67EEFA24" w:rsidR="00BC7689" w:rsidRDefault="00BC7689" w:rsidP="00346244">
      <w:pPr>
        <w:numPr>
          <w:ilvl w:val="0"/>
          <w:numId w:val="40"/>
        </w:numPr>
        <w:ind w:left="284" w:hanging="851"/>
        <w:jc w:val="both"/>
      </w:pPr>
      <w:r w:rsidRPr="006E6EE8">
        <w:rPr>
          <w:szCs w:val="24"/>
        </w:rPr>
        <w:t>The net asset statement represents the net worth (£</w:t>
      </w:r>
      <w:r w:rsidR="00CF5370" w:rsidRPr="006E6EE8">
        <w:rPr>
          <w:szCs w:val="24"/>
        </w:rPr>
        <w:t>954.8</w:t>
      </w:r>
      <w:r w:rsidRPr="006E6EE8">
        <w:rPr>
          <w:szCs w:val="24"/>
        </w:rPr>
        <w:t>m) of the Fund as at the 31st March 202</w:t>
      </w:r>
      <w:r w:rsidR="00CF5370" w:rsidRPr="006E6EE8">
        <w:rPr>
          <w:szCs w:val="24"/>
        </w:rPr>
        <w:t>3</w:t>
      </w:r>
      <w:r w:rsidRPr="006E6EE8">
        <w:rPr>
          <w:szCs w:val="24"/>
        </w:rPr>
        <w:t>. The statement</w:t>
      </w:r>
      <w:r>
        <w:t xml:space="preserve"> reflects how the transactions outlined in the other statement have impacted on the value of the Fund’s assets. </w:t>
      </w:r>
    </w:p>
    <w:p w14:paraId="7402E774" w14:textId="77777777" w:rsidR="00BC7689" w:rsidRDefault="00BC7689" w:rsidP="00BC7689">
      <w:pPr>
        <w:pStyle w:val="ListParagraph"/>
      </w:pPr>
    </w:p>
    <w:p w14:paraId="5B7C1255" w14:textId="0BD07B15" w:rsidR="00BC7689" w:rsidRDefault="00BC7689" w:rsidP="00346244">
      <w:pPr>
        <w:numPr>
          <w:ilvl w:val="0"/>
          <w:numId w:val="40"/>
        </w:numPr>
        <w:ind w:left="284" w:hanging="851"/>
        <w:jc w:val="both"/>
      </w:pPr>
      <w:r>
        <w:t xml:space="preserve">The Fund income section of the report principally relates to the receipt of contributions, from employers and active members, and the payment of pensions benefits. </w:t>
      </w:r>
      <w:r w:rsidR="00214C40">
        <w:t xml:space="preserve">The total contributions increased over the year by £2m. </w:t>
      </w:r>
      <w:r>
        <w:t xml:space="preserve">The section indicates that the Fund is cash </w:t>
      </w:r>
      <w:r w:rsidR="00CF5370">
        <w:t>nega</w:t>
      </w:r>
      <w:r>
        <w:t xml:space="preserve">tive in that the </w:t>
      </w:r>
      <w:r w:rsidR="00CF5370">
        <w:t xml:space="preserve">payment of benefits exceeds the </w:t>
      </w:r>
      <w:r>
        <w:t xml:space="preserve">receipt of contributions, </w:t>
      </w:r>
      <w:r w:rsidR="00214C40">
        <w:t>presenting</w:t>
      </w:r>
      <w:r w:rsidR="00CF5370">
        <w:t xml:space="preserve"> a net withdrawal of </w:t>
      </w:r>
      <w:r>
        <w:t>£</w:t>
      </w:r>
      <w:r w:rsidR="00CF5370">
        <w:t>2.64</w:t>
      </w:r>
      <w:r>
        <w:t>m for 202</w:t>
      </w:r>
      <w:r w:rsidR="00CF5370">
        <w:t>2</w:t>
      </w:r>
      <w:r>
        <w:t>/2</w:t>
      </w:r>
      <w:r w:rsidR="00CF5370">
        <w:t>3</w:t>
      </w:r>
      <w:r>
        <w:t xml:space="preserve"> compared to net </w:t>
      </w:r>
      <w:r w:rsidR="00CF5370">
        <w:t>withdrawals</w:t>
      </w:r>
      <w:r>
        <w:t xml:space="preserve"> of £</w:t>
      </w:r>
      <w:r w:rsidR="00CF5370">
        <w:t>3.9</w:t>
      </w:r>
      <w:r>
        <w:t>5m in 202</w:t>
      </w:r>
      <w:r w:rsidR="00CF5370">
        <w:t>1</w:t>
      </w:r>
      <w:r>
        <w:t>/2</w:t>
      </w:r>
      <w:r w:rsidR="00CF5370">
        <w:t>2</w:t>
      </w:r>
      <w:r>
        <w:t xml:space="preserve">. </w:t>
      </w:r>
    </w:p>
    <w:p w14:paraId="41D83878" w14:textId="77777777" w:rsidR="00BC7689" w:rsidRDefault="00BC7689" w:rsidP="00BC7689">
      <w:pPr>
        <w:pStyle w:val="ListParagraph"/>
      </w:pPr>
    </w:p>
    <w:p w14:paraId="57B7D592" w14:textId="311F5020" w:rsidR="00BC7689" w:rsidRDefault="00BC7689" w:rsidP="00346244">
      <w:pPr>
        <w:numPr>
          <w:ilvl w:val="0"/>
          <w:numId w:val="40"/>
        </w:numPr>
        <w:ind w:left="284" w:hanging="851"/>
        <w:jc w:val="both"/>
      </w:pPr>
      <w:r>
        <w:t xml:space="preserve"> Investment income increased by some £</w:t>
      </w:r>
      <w:r w:rsidR="00CF5370">
        <w:t>1.</w:t>
      </w:r>
      <w:r>
        <w:t>3m over the year as expected this is in line with the Fund assets appreciation. Transfer Values received (amounts paid over when a fund member transfers their benefits from one fund to another) was lesser by £2.</w:t>
      </w:r>
      <w:r w:rsidR="00CF5370">
        <w:t>4</w:t>
      </w:r>
      <w:r>
        <w:t xml:space="preserve">m over the year. It is not possible to predict the value of transfer value payments as they are dependent on an individual’s length of service and salary and as such may vary significantly. </w:t>
      </w:r>
    </w:p>
    <w:p w14:paraId="42891AFB" w14:textId="77777777" w:rsidR="00BC7689" w:rsidRDefault="00BC7689" w:rsidP="00095E9F">
      <w:pPr>
        <w:ind w:left="284"/>
        <w:jc w:val="both"/>
      </w:pPr>
    </w:p>
    <w:p w14:paraId="164AB851" w14:textId="77777777" w:rsidR="00346244" w:rsidRDefault="00BC7689" w:rsidP="00346244">
      <w:pPr>
        <w:numPr>
          <w:ilvl w:val="0"/>
          <w:numId w:val="40"/>
        </w:numPr>
        <w:ind w:left="284" w:hanging="851"/>
        <w:jc w:val="both"/>
      </w:pPr>
      <w:r>
        <w:t>In 202</w:t>
      </w:r>
      <w:r w:rsidR="00214C40">
        <w:t>2</w:t>
      </w:r>
      <w:r>
        <w:t>/2</w:t>
      </w:r>
      <w:r w:rsidR="00214C40">
        <w:t>3</w:t>
      </w:r>
      <w:r>
        <w:t xml:space="preserve"> </w:t>
      </w:r>
      <w:r w:rsidR="00214C40">
        <w:t>t</w:t>
      </w:r>
      <w:r>
        <w:t>he overall benefits paid</w:t>
      </w:r>
      <w:r w:rsidR="00214C40">
        <w:t>,</w:t>
      </w:r>
      <w:r>
        <w:t xml:space="preserve"> increased by some £</w:t>
      </w:r>
      <w:r w:rsidR="00214C40">
        <w:t>7</w:t>
      </w:r>
      <w:r>
        <w:t>5</w:t>
      </w:r>
      <w:r w:rsidR="00214C40">
        <w:t>0k</w:t>
      </w:r>
      <w:r>
        <w:t xml:space="preserve"> over the year</w:t>
      </w:r>
      <w:r w:rsidR="00214C40">
        <w:t xml:space="preserve"> and t</w:t>
      </w:r>
      <w:r>
        <w:t xml:space="preserve">he management expenses went </w:t>
      </w:r>
      <w:r w:rsidR="00214C40">
        <w:t>down</w:t>
      </w:r>
      <w:r>
        <w:t xml:space="preserve"> by £</w:t>
      </w:r>
      <w:r w:rsidR="00214C40">
        <w:t>78</w:t>
      </w:r>
      <w:r>
        <w:t xml:space="preserve">1k. </w:t>
      </w:r>
      <w:r w:rsidR="00095E9F" w:rsidRPr="00095E9F">
        <w:t xml:space="preserve">The Fund continues to mature in that benefit payments exceed contributions. This trend towards maturity can be expected to continue as the number of pensioners grows and active membership either stabilises or falls. </w:t>
      </w:r>
    </w:p>
    <w:p w14:paraId="4B8DACBA" w14:textId="77777777" w:rsidR="00346244" w:rsidRDefault="00346244" w:rsidP="00346244">
      <w:pPr>
        <w:pStyle w:val="ListParagraph"/>
      </w:pPr>
    </w:p>
    <w:p w14:paraId="4E2F139D" w14:textId="1BB8A97C" w:rsidR="00095E9F" w:rsidRPr="00755241" w:rsidRDefault="00095E9F" w:rsidP="00346244">
      <w:pPr>
        <w:numPr>
          <w:ilvl w:val="0"/>
          <w:numId w:val="40"/>
        </w:numPr>
        <w:ind w:left="284" w:hanging="851"/>
        <w:jc w:val="both"/>
      </w:pPr>
      <w:r w:rsidRPr="00095E9F">
        <w:t>Cashflow (even after taking account of investment income) is now slightly negative, although the investment strategy retains sufficient liquidity to address this in the short to medium term. The impact of stable membership, longevity and pension increases are likely to increase future cash outflows gradually. In the longer term, it is likely that this will have to be factored into the</w:t>
      </w:r>
      <w:r>
        <w:rPr>
          <w:szCs w:val="24"/>
        </w:rPr>
        <w:t xml:space="preserve"> inv</w:t>
      </w:r>
      <w:r>
        <w:t xml:space="preserve">estment strategy. </w:t>
      </w:r>
    </w:p>
    <w:p w14:paraId="138DCACA" w14:textId="77777777" w:rsidR="00BC7689" w:rsidRDefault="00BC7689" w:rsidP="00BC7689">
      <w:pPr>
        <w:pStyle w:val="ListParagraph"/>
      </w:pPr>
    </w:p>
    <w:p w14:paraId="1B5E5111" w14:textId="54DCF670" w:rsidR="00BC7689" w:rsidRDefault="00BC7689" w:rsidP="00346244">
      <w:pPr>
        <w:numPr>
          <w:ilvl w:val="0"/>
          <w:numId w:val="40"/>
        </w:numPr>
        <w:ind w:left="284" w:hanging="851"/>
        <w:jc w:val="both"/>
      </w:pPr>
      <w:r>
        <w:lastRenderedPageBreak/>
        <w:t xml:space="preserve">Overall, fund membership has increased slightly from </w:t>
      </w:r>
      <w:r w:rsidR="00AA4452">
        <w:t>19,003</w:t>
      </w:r>
      <w:r>
        <w:t xml:space="preserve"> to </w:t>
      </w:r>
      <w:r w:rsidR="00AA4452">
        <w:t>19</w:t>
      </w:r>
      <w:r>
        <w:t>,</w:t>
      </w:r>
      <w:r w:rsidR="00AA4452">
        <w:t>3</w:t>
      </w:r>
      <w:r w:rsidR="004552F7">
        <w:t>4</w:t>
      </w:r>
      <w:r w:rsidR="00AA4452">
        <w:t>8</w:t>
      </w:r>
      <w:r>
        <w:t xml:space="preserve">, an increase in membership number of </w:t>
      </w:r>
      <w:r w:rsidR="00AA4452">
        <w:t>34</w:t>
      </w:r>
      <w:r>
        <w:t xml:space="preserve">5. The active members increased by </w:t>
      </w:r>
      <w:r w:rsidR="00AA4452">
        <w:t>244</w:t>
      </w:r>
      <w:r>
        <w:t xml:space="preserve"> members over the year, deferred members increased by </w:t>
      </w:r>
      <w:r w:rsidR="00AA4452">
        <w:t>183</w:t>
      </w:r>
      <w:r>
        <w:t xml:space="preserve"> and the retired membership </w:t>
      </w:r>
      <w:r w:rsidR="00AA4452">
        <w:t>de</w:t>
      </w:r>
      <w:r>
        <w:t xml:space="preserve">creased by </w:t>
      </w:r>
      <w:r w:rsidR="00AA4452">
        <w:t>110</w:t>
      </w:r>
      <w:r>
        <w:t xml:space="preserve"> members. </w:t>
      </w:r>
    </w:p>
    <w:p w14:paraId="0C58B100" w14:textId="77777777" w:rsidR="00BC7689" w:rsidRDefault="00BC7689" w:rsidP="00BC7689">
      <w:pPr>
        <w:pStyle w:val="ListParagraph"/>
      </w:pPr>
    </w:p>
    <w:p w14:paraId="163A1D84" w14:textId="77777777" w:rsidR="00BC7689" w:rsidRDefault="00BC7689" w:rsidP="00346244">
      <w:pPr>
        <w:numPr>
          <w:ilvl w:val="0"/>
          <w:numId w:val="40"/>
        </w:numPr>
        <w:ind w:left="284" w:hanging="851"/>
        <w:jc w:val="both"/>
      </w:pPr>
      <w:r>
        <w:t xml:space="preserve">The investment performance section of the report details returns on the investment portfolio, the impact of managers’ activities and investment markets on the value of investments. </w:t>
      </w:r>
    </w:p>
    <w:p w14:paraId="4E8B0DA5" w14:textId="77777777" w:rsidR="00BC7689" w:rsidRDefault="00BC7689" w:rsidP="00AA4452">
      <w:pPr>
        <w:ind w:left="284"/>
        <w:jc w:val="both"/>
      </w:pPr>
    </w:p>
    <w:p w14:paraId="631E2A0F" w14:textId="497A3877" w:rsidR="00BC7689" w:rsidRDefault="00BC7689" w:rsidP="00346244">
      <w:pPr>
        <w:numPr>
          <w:ilvl w:val="0"/>
          <w:numId w:val="40"/>
        </w:numPr>
        <w:ind w:left="284" w:hanging="851"/>
        <w:jc w:val="both"/>
      </w:pPr>
      <w:r>
        <w:t xml:space="preserve">As the pension fund accounts remain part of the financial statements of the Council as a whole, the </w:t>
      </w:r>
      <w:r w:rsidR="00AA4452" w:rsidRPr="00AA4452">
        <w:t>Governance, Audit, Risk Management and Standards Committee</w:t>
      </w:r>
      <w:r w:rsidR="00AA4452">
        <w:t xml:space="preserve"> (GARMS) </w:t>
      </w:r>
      <w:r>
        <w:t xml:space="preserve">retain ultimate responsibility for receiving, considering and agreeing audit plans as well as receiving any reports arising from the audit. However, the Audit Plan for the Pension Fund and any reports arising from the audit will be reported to this Committee. </w:t>
      </w:r>
    </w:p>
    <w:p w14:paraId="174071D8" w14:textId="77777777" w:rsidR="00BC7689" w:rsidRDefault="00BC7689" w:rsidP="00BC7689">
      <w:pPr>
        <w:pStyle w:val="ListParagraph"/>
      </w:pPr>
    </w:p>
    <w:p w14:paraId="582000F6" w14:textId="77777777" w:rsidR="00BC7689" w:rsidRDefault="00BC7689" w:rsidP="00346244">
      <w:pPr>
        <w:numPr>
          <w:ilvl w:val="0"/>
          <w:numId w:val="40"/>
        </w:numPr>
        <w:ind w:left="284" w:hanging="851"/>
        <w:jc w:val="both"/>
      </w:pPr>
      <w:r>
        <w:t xml:space="preserve">The External Auditor provides an independent assessment of the Council’s Pension Fund financial statements, systems, procedures and performance. The external auditor is required to issue an ISA 260 report, an opinion on the Council’s accounts and this will include an opinion on the Pension Fund accounts. The ISA 260 report sets out their opinion and any issues which they believe the Committee should be aware of. </w:t>
      </w:r>
    </w:p>
    <w:p w14:paraId="5ED1D254" w14:textId="77777777" w:rsidR="00BC7689" w:rsidRPr="006E6EE8" w:rsidRDefault="00BC7689" w:rsidP="00BC7689">
      <w:pPr>
        <w:pStyle w:val="ListParagraph"/>
        <w:rPr>
          <w:sz w:val="24"/>
          <w:szCs w:val="24"/>
        </w:rPr>
      </w:pPr>
    </w:p>
    <w:p w14:paraId="4909B456" w14:textId="4F845062" w:rsidR="00BC7689" w:rsidRPr="006E6EE8" w:rsidRDefault="00BC7689" w:rsidP="00346244">
      <w:pPr>
        <w:numPr>
          <w:ilvl w:val="0"/>
          <w:numId w:val="40"/>
        </w:numPr>
        <w:ind w:left="284" w:hanging="851"/>
        <w:jc w:val="both"/>
        <w:rPr>
          <w:szCs w:val="24"/>
        </w:rPr>
      </w:pPr>
      <w:r w:rsidRPr="006E6EE8">
        <w:rPr>
          <w:szCs w:val="24"/>
        </w:rPr>
        <w:t xml:space="preserve">The audit of the </w:t>
      </w:r>
      <w:r w:rsidR="00AA4452" w:rsidRPr="006E6EE8">
        <w:rPr>
          <w:szCs w:val="24"/>
        </w:rPr>
        <w:t>Council’s</w:t>
      </w:r>
      <w:r w:rsidRPr="006E6EE8">
        <w:rPr>
          <w:szCs w:val="24"/>
        </w:rPr>
        <w:t xml:space="preserve"> accounts is yet to be completed and an ISA 260 report will be issued by the auditor once completed, at the time of writing this report ISA 260 has not been issued</w:t>
      </w:r>
      <w:r w:rsidR="00AA4452" w:rsidRPr="006E6EE8">
        <w:rPr>
          <w:szCs w:val="24"/>
        </w:rPr>
        <w:t xml:space="preserve"> for </w:t>
      </w:r>
      <w:r w:rsidR="00855316" w:rsidRPr="006E6EE8">
        <w:rPr>
          <w:szCs w:val="24"/>
        </w:rPr>
        <w:t>the Pension Fund accounts.</w:t>
      </w:r>
    </w:p>
    <w:p w14:paraId="145815EB" w14:textId="77777777" w:rsidR="00BC7689" w:rsidRPr="006E6EE8" w:rsidRDefault="00BC7689" w:rsidP="00BC7689">
      <w:pPr>
        <w:pStyle w:val="ListParagraph"/>
        <w:rPr>
          <w:sz w:val="24"/>
          <w:szCs w:val="24"/>
        </w:rPr>
      </w:pPr>
    </w:p>
    <w:p w14:paraId="0C247C5C" w14:textId="5BA8F037" w:rsidR="00BC7689" w:rsidRPr="006E6EE8" w:rsidRDefault="00BC7689" w:rsidP="00346244">
      <w:pPr>
        <w:numPr>
          <w:ilvl w:val="0"/>
          <w:numId w:val="40"/>
        </w:numPr>
        <w:ind w:left="284" w:hanging="851"/>
        <w:jc w:val="both"/>
        <w:rPr>
          <w:szCs w:val="24"/>
        </w:rPr>
      </w:pPr>
      <w:r w:rsidRPr="006E6EE8">
        <w:rPr>
          <w:szCs w:val="24"/>
        </w:rPr>
        <w:t>The Pension Fund audit is being undertaken by Mazars and the audit fee is being maintained at £1</w:t>
      </w:r>
      <w:r w:rsidR="00855316" w:rsidRPr="006E6EE8">
        <w:rPr>
          <w:szCs w:val="24"/>
        </w:rPr>
        <w:t>7</w:t>
      </w:r>
      <w:r w:rsidRPr="006E6EE8">
        <w:rPr>
          <w:szCs w:val="24"/>
        </w:rPr>
        <w:t xml:space="preserve">,000, this would be charged to the Pension Fund. </w:t>
      </w:r>
    </w:p>
    <w:p w14:paraId="6EC39974" w14:textId="77777777" w:rsidR="00BC7689" w:rsidRPr="006E6EE8" w:rsidRDefault="00BC7689" w:rsidP="00BC7689">
      <w:pPr>
        <w:pStyle w:val="ListParagraph"/>
        <w:rPr>
          <w:sz w:val="24"/>
          <w:szCs w:val="24"/>
        </w:rPr>
      </w:pPr>
    </w:p>
    <w:p w14:paraId="2123E0B3" w14:textId="77777777" w:rsidR="00BC7689" w:rsidRPr="006E6EE8" w:rsidRDefault="00BC7689" w:rsidP="00346244">
      <w:pPr>
        <w:numPr>
          <w:ilvl w:val="0"/>
          <w:numId w:val="40"/>
        </w:numPr>
        <w:ind w:left="284" w:hanging="851"/>
        <w:jc w:val="both"/>
        <w:rPr>
          <w:szCs w:val="24"/>
        </w:rPr>
      </w:pPr>
      <w:r w:rsidRPr="006E6EE8">
        <w:rPr>
          <w:szCs w:val="24"/>
        </w:rPr>
        <w:t xml:space="preserve">The annual report also includes three key statements: </w:t>
      </w:r>
    </w:p>
    <w:p w14:paraId="787005AC" w14:textId="77777777" w:rsidR="00BC7689" w:rsidRPr="006E6EE8" w:rsidRDefault="00BC7689" w:rsidP="00BC7689">
      <w:pPr>
        <w:pStyle w:val="ListParagraph"/>
        <w:rPr>
          <w:sz w:val="24"/>
          <w:szCs w:val="24"/>
        </w:rPr>
      </w:pPr>
    </w:p>
    <w:p w14:paraId="00CC984A" w14:textId="77777777" w:rsidR="00BC7689" w:rsidRPr="006E6EE8" w:rsidRDefault="00BC7689" w:rsidP="00BC7689">
      <w:pPr>
        <w:pStyle w:val="ListParagraph"/>
        <w:numPr>
          <w:ilvl w:val="0"/>
          <w:numId w:val="45"/>
        </w:numPr>
        <w:jc w:val="both"/>
        <w:rPr>
          <w:sz w:val="24"/>
          <w:szCs w:val="24"/>
        </w:rPr>
      </w:pPr>
      <w:r w:rsidRPr="006E6EE8">
        <w:rPr>
          <w:sz w:val="24"/>
          <w:szCs w:val="24"/>
        </w:rPr>
        <w:t xml:space="preserve">Funding Strategy Statement, </w:t>
      </w:r>
    </w:p>
    <w:p w14:paraId="11F4D9CF" w14:textId="77777777" w:rsidR="00BC7689" w:rsidRPr="006E6EE8" w:rsidRDefault="00BC7689" w:rsidP="00BC7689">
      <w:pPr>
        <w:pStyle w:val="ListParagraph"/>
        <w:numPr>
          <w:ilvl w:val="0"/>
          <w:numId w:val="45"/>
        </w:numPr>
        <w:jc w:val="both"/>
        <w:rPr>
          <w:sz w:val="24"/>
          <w:szCs w:val="24"/>
        </w:rPr>
      </w:pPr>
      <w:r w:rsidRPr="006E6EE8">
        <w:rPr>
          <w:sz w:val="24"/>
          <w:szCs w:val="24"/>
        </w:rPr>
        <w:t xml:space="preserve">Investment Strategy Statement and </w:t>
      </w:r>
    </w:p>
    <w:p w14:paraId="67BBD3FE" w14:textId="165B0BF1" w:rsidR="00BC7689" w:rsidRPr="006E6EE8" w:rsidRDefault="00BC7689" w:rsidP="00BC7689">
      <w:pPr>
        <w:pStyle w:val="ListParagraph"/>
        <w:numPr>
          <w:ilvl w:val="0"/>
          <w:numId w:val="45"/>
        </w:numPr>
        <w:jc w:val="both"/>
        <w:rPr>
          <w:sz w:val="24"/>
          <w:szCs w:val="24"/>
        </w:rPr>
      </w:pPr>
      <w:r w:rsidRPr="006E6EE8">
        <w:rPr>
          <w:sz w:val="24"/>
          <w:szCs w:val="24"/>
        </w:rPr>
        <w:t xml:space="preserve">Governance Compliance Statement - relating to the management and governance of the scheme and each statement serves a different purpose. </w:t>
      </w:r>
    </w:p>
    <w:p w14:paraId="2BC09935" w14:textId="77777777" w:rsidR="00BC7689" w:rsidRPr="006E6EE8" w:rsidRDefault="00BC7689" w:rsidP="00BC7689">
      <w:pPr>
        <w:pStyle w:val="ListParagraph"/>
        <w:rPr>
          <w:sz w:val="24"/>
          <w:szCs w:val="24"/>
        </w:rPr>
      </w:pPr>
    </w:p>
    <w:p w14:paraId="6C2D282C" w14:textId="762302DD" w:rsidR="00BC7689" w:rsidRPr="006E6EE8" w:rsidRDefault="00BC7689" w:rsidP="00346244">
      <w:pPr>
        <w:numPr>
          <w:ilvl w:val="0"/>
          <w:numId w:val="40"/>
        </w:numPr>
        <w:ind w:left="284" w:hanging="851"/>
        <w:jc w:val="both"/>
        <w:rPr>
          <w:szCs w:val="24"/>
        </w:rPr>
      </w:pPr>
      <w:r w:rsidRPr="006E6EE8">
        <w:rPr>
          <w:szCs w:val="24"/>
        </w:rPr>
        <w:t xml:space="preserve">The purpose of the Funding Strategy </w:t>
      </w:r>
      <w:r w:rsidR="002C2EDC" w:rsidRPr="006E6EE8">
        <w:rPr>
          <w:szCs w:val="24"/>
        </w:rPr>
        <w:t>S</w:t>
      </w:r>
      <w:r w:rsidRPr="006E6EE8">
        <w:rPr>
          <w:szCs w:val="24"/>
        </w:rPr>
        <w:t>tatement</w:t>
      </w:r>
      <w:r w:rsidR="002C2EDC" w:rsidRPr="006E6EE8">
        <w:rPr>
          <w:szCs w:val="24"/>
        </w:rPr>
        <w:t xml:space="preserve"> (FSS)</w:t>
      </w:r>
      <w:r w:rsidRPr="006E6EE8">
        <w:rPr>
          <w:szCs w:val="24"/>
        </w:rPr>
        <w:t xml:space="preserve"> is threefold: </w:t>
      </w:r>
    </w:p>
    <w:p w14:paraId="1B6B152D" w14:textId="77777777" w:rsidR="00BC7689" w:rsidRPr="006E6EE8" w:rsidRDefault="00BC7689" w:rsidP="00BC7689">
      <w:pPr>
        <w:pStyle w:val="ListParagraph"/>
        <w:rPr>
          <w:sz w:val="24"/>
          <w:szCs w:val="24"/>
        </w:rPr>
      </w:pPr>
    </w:p>
    <w:p w14:paraId="5F73237C" w14:textId="5F253281" w:rsidR="00BC7689" w:rsidRPr="006E6EE8" w:rsidRDefault="00BC7689" w:rsidP="00BC7689">
      <w:pPr>
        <w:pStyle w:val="ListParagraph"/>
        <w:numPr>
          <w:ilvl w:val="0"/>
          <w:numId w:val="46"/>
        </w:numPr>
        <w:ind w:left="1440"/>
        <w:jc w:val="both"/>
        <w:rPr>
          <w:sz w:val="24"/>
          <w:szCs w:val="24"/>
        </w:rPr>
      </w:pPr>
      <w:r w:rsidRPr="006E6EE8">
        <w:rPr>
          <w:sz w:val="24"/>
          <w:szCs w:val="24"/>
        </w:rPr>
        <w:t xml:space="preserve">To establish a clear and transparent fund specific strategy which will identify how employers’ pension liabilities are best met going forward; </w:t>
      </w:r>
    </w:p>
    <w:p w14:paraId="45A06A20" w14:textId="04CD9FAB" w:rsidR="00BC7689" w:rsidRPr="006E6EE8" w:rsidRDefault="00BC7689" w:rsidP="00BC7689">
      <w:pPr>
        <w:pStyle w:val="ListParagraph"/>
        <w:numPr>
          <w:ilvl w:val="0"/>
          <w:numId w:val="46"/>
        </w:numPr>
        <w:ind w:left="1440"/>
        <w:jc w:val="both"/>
        <w:rPr>
          <w:sz w:val="24"/>
          <w:szCs w:val="24"/>
        </w:rPr>
      </w:pPr>
      <w:r w:rsidRPr="006E6EE8">
        <w:rPr>
          <w:sz w:val="24"/>
          <w:szCs w:val="24"/>
        </w:rPr>
        <w:t xml:space="preserve">To support the regulatory framework to maintain as nearly constant employer contributions rates as possible; and </w:t>
      </w:r>
    </w:p>
    <w:p w14:paraId="7D0E51EC" w14:textId="1CC6963D" w:rsidR="00BC7689" w:rsidRPr="006E6EE8" w:rsidRDefault="00BC7689" w:rsidP="00BC7689">
      <w:pPr>
        <w:pStyle w:val="ListParagraph"/>
        <w:numPr>
          <w:ilvl w:val="0"/>
          <w:numId w:val="44"/>
        </w:numPr>
        <w:ind w:left="1440"/>
        <w:jc w:val="both"/>
        <w:rPr>
          <w:sz w:val="24"/>
          <w:szCs w:val="24"/>
        </w:rPr>
      </w:pPr>
      <w:r w:rsidRPr="006E6EE8">
        <w:rPr>
          <w:sz w:val="24"/>
          <w:szCs w:val="24"/>
        </w:rPr>
        <w:t xml:space="preserve">To take a prudent longer-term view of funding those liabilities. </w:t>
      </w:r>
    </w:p>
    <w:p w14:paraId="2969C9BD" w14:textId="77777777" w:rsidR="00BC7689" w:rsidRPr="006E6EE8" w:rsidRDefault="00BC7689" w:rsidP="00BC7689">
      <w:pPr>
        <w:pStyle w:val="ListParagraph"/>
        <w:rPr>
          <w:sz w:val="24"/>
          <w:szCs w:val="24"/>
        </w:rPr>
      </w:pPr>
    </w:p>
    <w:p w14:paraId="296454EF" w14:textId="77777777" w:rsidR="00BC7689" w:rsidRDefault="00BC7689" w:rsidP="00346244">
      <w:pPr>
        <w:numPr>
          <w:ilvl w:val="0"/>
          <w:numId w:val="40"/>
        </w:numPr>
        <w:ind w:left="284" w:hanging="851"/>
        <w:jc w:val="both"/>
      </w:pPr>
      <w:r w:rsidRPr="006E6EE8">
        <w:rPr>
          <w:szCs w:val="24"/>
        </w:rPr>
        <w:t>The Investment Strategy Statement (ISS). The Local Government Pension Scheme (Management and Investment of Funds) Regulations 2016 require administering authorities to formulate and to publish a statement of its investment strategy, in accordance with</w:t>
      </w:r>
      <w:r>
        <w:t xml:space="preserve"> guidance issued from time to time by the Secretary of State. </w:t>
      </w:r>
    </w:p>
    <w:p w14:paraId="091B18F0" w14:textId="77777777" w:rsidR="00BC7689" w:rsidRDefault="00BC7689" w:rsidP="00BC7689">
      <w:pPr>
        <w:pStyle w:val="ListParagraph"/>
      </w:pPr>
    </w:p>
    <w:p w14:paraId="02FC956A" w14:textId="77777777" w:rsidR="00BC7689" w:rsidRDefault="00BC7689" w:rsidP="00346244">
      <w:pPr>
        <w:numPr>
          <w:ilvl w:val="0"/>
          <w:numId w:val="40"/>
        </w:numPr>
        <w:ind w:left="284" w:hanging="851"/>
        <w:jc w:val="both"/>
      </w:pPr>
      <w:r>
        <w:lastRenderedPageBreak/>
        <w:t xml:space="preserve">This ISS is designed to be a living document and is an important governance tool for the Fund. This document sets out the investment strategy of the Fund, provides transparency in relation to how the Fund investments are managed, acts as a risk register, and has been designed to be informative but reader focused. </w:t>
      </w:r>
    </w:p>
    <w:p w14:paraId="2EFCA839" w14:textId="77777777" w:rsidR="00BC7689" w:rsidRDefault="00BC7689" w:rsidP="00BC7689">
      <w:pPr>
        <w:pStyle w:val="ListParagraph"/>
      </w:pPr>
    </w:p>
    <w:p w14:paraId="4DA55376" w14:textId="77777777" w:rsidR="00BC7689" w:rsidRDefault="00BC7689" w:rsidP="00346244">
      <w:pPr>
        <w:numPr>
          <w:ilvl w:val="0"/>
          <w:numId w:val="40"/>
        </w:numPr>
        <w:ind w:left="284" w:hanging="851"/>
        <w:jc w:val="both"/>
      </w:pPr>
      <w:r>
        <w:t xml:space="preserve">The Governance Compliance Statement sets out the Council’s policy as the administering authority in relation to its governance responsibilities for the Fund. </w:t>
      </w:r>
    </w:p>
    <w:p w14:paraId="5A7FA1EB" w14:textId="77777777" w:rsidR="00BC7689" w:rsidRDefault="00BC7689" w:rsidP="00BC7689">
      <w:pPr>
        <w:pStyle w:val="ListParagraph"/>
      </w:pPr>
    </w:p>
    <w:p w14:paraId="34040EB6" w14:textId="1D56083C" w:rsidR="00BC7689" w:rsidRPr="00BC7689" w:rsidRDefault="00BC7689" w:rsidP="00BC7689">
      <w:pPr>
        <w:ind w:left="284"/>
        <w:jc w:val="both"/>
        <w:rPr>
          <w:b/>
          <w:bCs/>
        </w:rPr>
      </w:pPr>
      <w:r w:rsidRPr="00BC7689">
        <w:rPr>
          <w:b/>
          <w:bCs/>
        </w:rPr>
        <w:t xml:space="preserve">PIRC League Table Performance </w:t>
      </w:r>
    </w:p>
    <w:p w14:paraId="1AB51E82" w14:textId="77777777" w:rsidR="00BC7689" w:rsidRDefault="00BC7689" w:rsidP="00BC7689">
      <w:pPr>
        <w:pStyle w:val="ListParagraph"/>
      </w:pPr>
    </w:p>
    <w:p w14:paraId="073D071C" w14:textId="1A8E5101" w:rsidR="00BC7689" w:rsidRDefault="00BC7689" w:rsidP="00346244">
      <w:pPr>
        <w:numPr>
          <w:ilvl w:val="0"/>
          <w:numId w:val="40"/>
        </w:numPr>
        <w:ind w:left="284" w:hanging="851"/>
        <w:jc w:val="both"/>
      </w:pPr>
      <w:r>
        <w:t>PIRC measures the performance of the Fund against their Local Authority Universe data. The PIRC Local Authority Universe is an aggregation of Funds (currently 4</w:t>
      </w:r>
      <w:r w:rsidR="00E32F3A">
        <w:t>5</w:t>
      </w:r>
      <w:r>
        <w:t xml:space="preserve"> Funds) within the LGPS sector that is used for peer group comparisons. The performance results set out in this section are from the league tables. </w:t>
      </w:r>
    </w:p>
    <w:p w14:paraId="5B27155C" w14:textId="77777777" w:rsidR="00BC7689" w:rsidRDefault="00BC7689" w:rsidP="00BC7689">
      <w:pPr>
        <w:ind w:left="284"/>
        <w:jc w:val="both"/>
      </w:pPr>
    </w:p>
    <w:p w14:paraId="2FADD7B5" w14:textId="6A5AC9E6" w:rsidR="00BC7689" w:rsidRDefault="00BC7689" w:rsidP="00346244">
      <w:pPr>
        <w:numPr>
          <w:ilvl w:val="0"/>
          <w:numId w:val="40"/>
        </w:numPr>
        <w:ind w:left="284" w:hanging="851"/>
        <w:jc w:val="both"/>
      </w:pPr>
      <w:r>
        <w:t xml:space="preserve">Fund Performance over the period of 1, </w:t>
      </w:r>
      <w:r w:rsidR="00E32F3A">
        <w:t>3</w:t>
      </w:r>
      <w:r>
        <w:t xml:space="preserve"> and </w:t>
      </w:r>
      <w:r w:rsidR="00E32F3A">
        <w:t>5</w:t>
      </w:r>
      <w:r>
        <w:t xml:space="preserve"> </w:t>
      </w:r>
      <w:r w:rsidR="003E70EC">
        <w:t>years</w:t>
      </w:r>
      <w:r>
        <w:t xml:space="preserve"> are shown in below table:</w:t>
      </w:r>
    </w:p>
    <w:tbl>
      <w:tblPr>
        <w:tblW w:w="7357" w:type="dxa"/>
        <w:tblInd w:w="502" w:type="dxa"/>
        <w:tblLook w:val="04A0" w:firstRow="1" w:lastRow="0" w:firstColumn="1" w:lastColumn="0" w:noHBand="0" w:noVBand="1"/>
      </w:tblPr>
      <w:tblGrid>
        <w:gridCol w:w="3457"/>
        <w:gridCol w:w="280"/>
        <w:gridCol w:w="1020"/>
        <w:gridCol w:w="280"/>
        <w:gridCol w:w="1020"/>
        <w:gridCol w:w="280"/>
        <w:gridCol w:w="1020"/>
      </w:tblGrid>
      <w:tr w:rsidR="00095E9F" w:rsidRPr="00095E9F" w14:paraId="5928EEBC" w14:textId="77777777" w:rsidTr="003E70EC">
        <w:trPr>
          <w:trHeight w:val="285"/>
        </w:trPr>
        <w:tc>
          <w:tcPr>
            <w:tcW w:w="3457" w:type="dxa"/>
            <w:tcBorders>
              <w:top w:val="single" w:sz="8" w:space="0" w:color="auto"/>
              <w:left w:val="single" w:sz="8" w:space="0" w:color="auto"/>
              <w:bottom w:val="nil"/>
              <w:right w:val="single" w:sz="4" w:space="0" w:color="auto"/>
            </w:tcBorders>
            <w:shd w:val="clear" w:color="000000" w:fill="CDACE6"/>
            <w:noWrap/>
            <w:vAlign w:val="bottom"/>
            <w:hideMark/>
          </w:tcPr>
          <w:p w14:paraId="4AB11F05"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280" w:type="dxa"/>
            <w:tcBorders>
              <w:top w:val="single" w:sz="8" w:space="0" w:color="auto"/>
              <w:left w:val="nil"/>
              <w:bottom w:val="nil"/>
              <w:right w:val="nil"/>
            </w:tcBorders>
            <w:shd w:val="clear" w:color="000000" w:fill="CDACE6"/>
            <w:noWrap/>
            <w:vAlign w:val="bottom"/>
            <w:hideMark/>
          </w:tcPr>
          <w:p w14:paraId="07FFEF8B"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single" w:sz="8" w:space="0" w:color="auto"/>
              <w:left w:val="nil"/>
              <w:bottom w:val="nil"/>
              <w:right w:val="single" w:sz="4" w:space="0" w:color="auto"/>
            </w:tcBorders>
            <w:shd w:val="clear" w:color="000000" w:fill="CDACE6"/>
            <w:noWrap/>
            <w:vAlign w:val="bottom"/>
            <w:hideMark/>
          </w:tcPr>
          <w:p w14:paraId="00954A1E"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1 year</w:t>
            </w:r>
          </w:p>
        </w:tc>
        <w:tc>
          <w:tcPr>
            <w:tcW w:w="280" w:type="dxa"/>
            <w:tcBorders>
              <w:top w:val="single" w:sz="8" w:space="0" w:color="auto"/>
              <w:left w:val="nil"/>
              <w:bottom w:val="nil"/>
              <w:right w:val="nil"/>
            </w:tcBorders>
            <w:shd w:val="clear" w:color="000000" w:fill="CDACE6"/>
            <w:noWrap/>
            <w:vAlign w:val="bottom"/>
            <w:hideMark/>
          </w:tcPr>
          <w:p w14:paraId="7A491139"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single" w:sz="8" w:space="0" w:color="auto"/>
              <w:left w:val="nil"/>
              <w:bottom w:val="nil"/>
              <w:right w:val="single" w:sz="4" w:space="0" w:color="auto"/>
            </w:tcBorders>
            <w:shd w:val="clear" w:color="000000" w:fill="CDACE6"/>
            <w:noWrap/>
            <w:vAlign w:val="bottom"/>
            <w:hideMark/>
          </w:tcPr>
          <w:p w14:paraId="6026BDFA"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3 years</w:t>
            </w:r>
          </w:p>
        </w:tc>
        <w:tc>
          <w:tcPr>
            <w:tcW w:w="280" w:type="dxa"/>
            <w:tcBorders>
              <w:top w:val="single" w:sz="8" w:space="0" w:color="auto"/>
              <w:left w:val="nil"/>
              <w:bottom w:val="nil"/>
              <w:right w:val="nil"/>
            </w:tcBorders>
            <w:shd w:val="clear" w:color="000000" w:fill="CDACE6"/>
            <w:noWrap/>
            <w:vAlign w:val="bottom"/>
            <w:hideMark/>
          </w:tcPr>
          <w:p w14:paraId="49531861"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single" w:sz="8" w:space="0" w:color="auto"/>
              <w:left w:val="nil"/>
              <w:bottom w:val="nil"/>
              <w:right w:val="single" w:sz="8" w:space="0" w:color="auto"/>
            </w:tcBorders>
            <w:shd w:val="clear" w:color="000000" w:fill="CDACE6"/>
            <w:noWrap/>
            <w:vAlign w:val="bottom"/>
            <w:hideMark/>
          </w:tcPr>
          <w:p w14:paraId="13DB250C"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5 years</w:t>
            </w:r>
          </w:p>
        </w:tc>
      </w:tr>
      <w:tr w:rsidR="00095E9F" w:rsidRPr="00095E9F" w14:paraId="063BA8AD" w14:textId="77777777" w:rsidTr="003E70EC">
        <w:trPr>
          <w:trHeight w:val="285"/>
        </w:trPr>
        <w:tc>
          <w:tcPr>
            <w:tcW w:w="3457" w:type="dxa"/>
            <w:tcBorders>
              <w:top w:val="nil"/>
              <w:left w:val="single" w:sz="8" w:space="0" w:color="auto"/>
              <w:bottom w:val="single" w:sz="4" w:space="0" w:color="auto"/>
              <w:right w:val="single" w:sz="4" w:space="0" w:color="auto"/>
            </w:tcBorders>
            <w:shd w:val="clear" w:color="000000" w:fill="CDACE6"/>
            <w:noWrap/>
            <w:vAlign w:val="bottom"/>
            <w:hideMark/>
          </w:tcPr>
          <w:p w14:paraId="125B970A" w14:textId="77777777" w:rsidR="00095E9F" w:rsidRPr="00095E9F" w:rsidRDefault="00095E9F" w:rsidP="00346244">
            <w:pPr>
              <w:ind w:firstLine="301"/>
              <w:jc w:val="right"/>
              <w:rPr>
                <w:rFonts w:cs="Arial"/>
                <w:b/>
                <w:bCs/>
                <w:color w:val="000000"/>
                <w:sz w:val="22"/>
                <w:szCs w:val="22"/>
                <w:lang w:eastAsia="en-GB"/>
              </w:rPr>
            </w:pPr>
            <w:r w:rsidRPr="00095E9F">
              <w:rPr>
                <w:rFonts w:cs="Arial"/>
                <w:b/>
                <w:bCs/>
                <w:color w:val="000000"/>
                <w:sz w:val="22"/>
                <w:szCs w:val="22"/>
                <w:lang w:eastAsia="en-GB"/>
              </w:rPr>
              <w:t> </w:t>
            </w:r>
          </w:p>
        </w:tc>
        <w:tc>
          <w:tcPr>
            <w:tcW w:w="280" w:type="dxa"/>
            <w:tcBorders>
              <w:top w:val="nil"/>
              <w:left w:val="nil"/>
              <w:bottom w:val="single" w:sz="4" w:space="0" w:color="auto"/>
              <w:right w:val="nil"/>
            </w:tcBorders>
            <w:shd w:val="clear" w:color="000000" w:fill="CDACE6"/>
            <w:noWrap/>
            <w:vAlign w:val="bottom"/>
            <w:hideMark/>
          </w:tcPr>
          <w:p w14:paraId="5EBE0DF5"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single" w:sz="4" w:space="0" w:color="auto"/>
              <w:right w:val="single" w:sz="4" w:space="0" w:color="auto"/>
            </w:tcBorders>
            <w:shd w:val="clear" w:color="000000" w:fill="CDACE6"/>
            <w:noWrap/>
            <w:vAlign w:val="bottom"/>
            <w:hideMark/>
          </w:tcPr>
          <w:p w14:paraId="3C2A5A1A"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280" w:type="dxa"/>
            <w:tcBorders>
              <w:top w:val="nil"/>
              <w:left w:val="nil"/>
              <w:bottom w:val="single" w:sz="4" w:space="0" w:color="auto"/>
              <w:right w:val="nil"/>
            </w:tcBorders>
            <w:shd w:val="clear" w:color="000000" w:fill="CDACE6"/>
            <w:noWrap/>
            <w:vAlign w:val="bottom"/>
            <w:hideMark/>
          </w:tcPr>
          <w:p w14:paraId="3FCF7914"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single" w:sz="4" w:space="0" w:color="auto"/>
              <w:right w:val="single" w:sz="4" w:space="0" w:color="auto"/>
            </w:tcBorders>
            <w:shd w:val="clear" w:color="000000" w:fill="CDACE6"/>
            <w:noWrap/>
            <w:vAlign w:val="bottom"/>
            <w:hideMark/>
          </w:tcPr>
          <w:p w14:paraId="1564C1BF"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280" w:type="dxa"/>
            <w:tcBorders>
              <w:top w:val="nil"/>
              <w:left w:val="nil"/>
              <w:bottom w:val="single" w:sz="4" w:space="0" w:color="auto"/>
              <w:right w:val="nil"/>
            </w:tcBorders>
            <w:shd w:val="clear" w:color="000000" w:fill="CDACE6"/>
            <w:noWrap/>
            <w:vAlign w:val="bottom"/>
            <w:hideMark/>
          </w:tcPr>
          <w:p w14:paraId="556968D1"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single" w:sz="4" w:space="0" w:color="auto"/>
              <w:right w:val="single" w:sz="8" w:space="0" w:color="auto"/>
            </w:tcBorders>
            <w:shd w:val="clear" w:color="000000" w:fill="CDACE6"/>
            <w:noWrap/>
            <w:vAlign w:val="bottom"/>
            <w:hideMark/>
          </w:tcPr>
          <w:p w14:paraId="47E70F1D"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r>
      <w:tr w:rsidR="00095E9F" w:rsidRPr="00095E9F" w14:paraId="7EBA951A" w14:textId="77777777" w:rsidTr="003E70EC">
        <w:trPr>
          <w:trHeight w:val="285"/>
        </w:trPr>
        <w:tc>
          <w:tcPr>
            <w:tcW w:w="3457" w:type="dxa"/>
            <w:tcBorders>
              <w:top w:val="nil"/>
              <w:left w:val="single" w:sz="8" w:space="0" w:color="auto"/>
              <w:bottom w:val="nil"/>
              <w:right w:val="single" w:sz="4" w:space="0" w:color="auto"/>
            </w:tcBorders>
            <w:shd w:val="clear" w:color="000000" w:fill="D0CECE"/>
            <w:noWrap/>
            <w:vAlign w:val="bottom"/>
            <w:hideMark/>
          </w:tcPr>
          <w:p w14:paraId="39C29FDB"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Harrow Pension Fund % p.a.</w:t>
            </w:r>
          </w:p>
        </w:tc>
        <w:tc>
          <w:tcPr>
            <w:tcW w:w="280" w:type="dxa"/>
            <w:tcBorders>
              <w:top w:val="nil"/>
              <w:left w:val="nil"/>
              <w:bottom w:val="nil"/>
              <w:right w:val="nil"/>
            </w:tcBorders>
            <w:shd w:val="clear" w:color="000000" w:fill="D0CECE"/>
            <w:noWrap/>
            <w:vAlign w:val="bottom"/>
            <w:hideMark/>
          </w:tcPr>
          <w:p w14:paraId="7A7B786F"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4" w:space="0" w:color="auto"/>
            </w:tcBorders>
            <w:shd w:val="clear" w:color="000000" w:fill="D0CECE"/>
            <w:noWrap/>
            <w:vAlign w:val="bottom"/>
            <w:hideMark/>
          </w:tcPr>
          <w:p w14:paraId="6DC83F65" w14:textId="77777777" w:rsidR="00095E9F" w:rsidRPr="00095E9F" w:rsidRDefault="00095E9F" w:rsidP="00095E9F">
            <w:pPr>
              <w:jc w:val="right"/>
              <w:rPr>
                <w:rFonts w:cs="Arial"/>
                <w:b/>
                <w:bCs/>
                <w:color w:val="000000"/>
                <w:sz w:val="22"/>
                <w:szCs w:val="22"/>
                <w:lang w:eastAsia="en-GB"/>
              </w:rPr>
            </w:pPr>
            <w:r w:rsidRPr="00095E9F">
              <w:rPr>
                <w:rFonts w:cs="Arial"/>
                <w:b/>
                <w:bCs/>
                <w:color w:val="FF0000"/>
                <w:sz w:val="22"/>
                <w:szCs w:val="22"/>
                <w:lang w:eastAsia="en-GB"/>
              </w:rPr>
              <w:t>(5.4)</w:t>
            </w:r>
          </w:p>
        </w:tc>
        <w:tc>
          <w:tcPr>
            <w:tcW w:w="280" w:type="dxa"/>
            <w:tcBorders>
              <w:top w:val="nil"/>
              <w:left w:val="nil"/>
              <w:bottom w:val="nil"/>
              <w:right w:val="nil"/>
            </w:tcBorders>
            <w:shd w:val="clear" w:color="000000" w:fill="D0CECE"/>
            <w:noWrap/>
            <w:vAlign w:val="bottom"/>
            <w:hideMark/>
          </w:tcPr>
          <w:p w14:paraId="3634F64F"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4" w:space="0" w:color="auto"/>
            </w:tcBorders>
            <w:shd w:val="clear" w:color="000000" w:fill="D0CECE"/>
            <w:noWrap/>
            <w:vAlign w:val="bottom"/>
            <w:hideMark/>
          </w:tcPr>
          <w:p w14:paraId="28DA0ED7"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7.7</w:t>
            </w:r>
          </w:p>
        </w:tc>
        <w:tc>
          <w:tcPr>
            <w:tcW w:w="280" w:type="dxa"/>
            <w:tcBorders>
              <w:top w:val="nil"/>
              <w:left w:val="nil"/>
              <w:bottom w:val="nil"/>
              <w:right w:val="nil"/>
            </w:tcBorders>
            <w:shd w:val="clear" w:color="000000" w:fill="D0CECE"/>
            <w:noWrap/>
            <w:vAlign w:val="bottom"/>
            <w:hideMark/>
          </w:tcPr>
          <w:p w14:paraId="50781549"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8" w:space="0" w:color="auto"/>
            </w:tcBorders>
            <w:shd w:val="clear" w:color="000000" w:fill="D0CECE"/>
            <w:noWrap/>
            <w:vAlign w:val="bottom"/>
            <w:hideMark/>
          </w:tcPr>
          <w:p w14:paraId="29D580CA"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3.7</w:t>
            </w:r>
          </w:p>
        </w:tc>
      </w:tr>
      <w:tr w:rsidR="00095E9F" w:rsidRPr="00095E9F" w14:paraId="7BA990DE" w14:textId="77777777" w:rsidTr="003E70EC">
        <w:trPr>
          <w:trHeight w:val="285"/>
        </w:trPr>
        <w:tc>
          <w:tcPr>
            <w:tcW w:w="3457" w:type="dxa"/>
            <w:tcBorders>
              <w:top w:val="nil"/>
              <w:left w:val="single" w:sz="8" w:space="0" w:color="auto"/>
              <w:bottom w:val="nil"/>
              <w:right w:val="single" w:sz="4" w:space="0" w:color="auto"/>
            </w:tcBorders>
            <w:shd w:val="clear" w:color="000000" w:fill="D0CECE"/>
            <w:noWrap/>
            <w:vAlign w:val="bottom"/>
            <w:hideMark/>
          </w:tcPr>
          <w:p w14:paraId="56F710D6"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280" w:type="dxa"/>
            <w:tcBorders>
              <w:top w:val="nil"/>
              <w:left w:val="nil"/>
              <w:bottom w:val="nil"/>
              <w:right w:val="nil"/>
            </w:tcBorders>
            <w:shd w:val="clear" w:color="000000" w:fill="D0CECE"/>
            <w:noWrap/>
            <w:vAlign w:val="bottom"/>
            <w:hideMark/>
          </w:tcPr>
          <w:p w14:paraId="5F4DCE76"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4" w:space="0" w:color="auto"/>
            </w:tcBorders>
            <w:shd w:val="clear" w:color="000000" w:fill="D0CECE"/>
            <w:noWrap/>
            <w:vAlign w:val="bottom"/>
            <w:hideMark/>
          </w:tcPr>
          <w:p w14:paraId="46F67436"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280" w:type="dxa"/>
            <w:tcBorders>
              <w:top w:val="nil"/>
              <w:left w:val="nil"/>
              <w:bottom w:val="nil"/>
              <w:right w:val="nil"/>
            </w:tcBorders>
            <w:shd w:val="clear" w:color="000000" w:fill="D0CECE"/>
            <w:noWrap/>
            <w:vAlign w:val="bottom"/>
            <w:hideMark/>
          </w:tcPr>
          <w:p w14:paraId="77D5124E"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4" w:space="0" w:color="auto"/>
            </w:tcBorders>
            <w:shd w:val="clear" w:color="000000" w:fill="D0CECE"/>
            <w:noWrap/>
            <w:vAlign w:val="bottom"/>
            <w:hideMark/>
          </w:tcPr>
          <w:p w14:paraId="442C409C"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280" w:type="dxa"/>
            <w:tcBorders>
              <w:top w:val="nil"/>
              <w:left w:val="nil"/>
              <w:bottom w:val="nil"/>
              <w:right w:val="nil"/>
            </w:tcBorders>
            <w:shd w:val="clear" w:color="000000" w:fill="D0CECE"/>
            <w:noWrap/>
            <w:vAlign w:val="bottom"/>
            <w:hideMark/>
          </w:tcPr>
          <w:p w14:paraId="70B76754"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8" w:space="0" w:color="auto"/>
            </w:tcBorders>
            <w:shd w:val="clear" w:color="000000" w:fill="D0CECE"/>
            <w:noWrap/>
            <w:vAlign w:val="bottom"/>
            <w:hideMark/>
          </w:tcPr>
          <w:p w14:paraId="4703E65E"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r>
      <w:tr w:rsidR="00095E9F" w:rsidRPr="00095E9F" w14:paraId="17840DC6" w14:textId="77777777" w:rsidTr="003E70EC">
        <w:trPr>
          <w:trHeight w:val="285"/>
        </w:trPr>
        <w:tc>
          <w:tcPr>
            <w:tcW w:w="3457" w:type="dxa"/>
            <w:tcBorders>
              <w:top w:val="nil"/>
              <w:left w:val="single" w:sz="8" w:space="0" w:color="auto"/>
              <w:bottom w:val="nil"/>
              <w:right w:val="single" w:sz="4" w:space="0" w:color="auto"/>
            </w:tcBorders>
            <w:shd w:val="clear" w:color="000000" w:fill="BDD7EE"/>
            <w:noWrap/>
            <w:vAlign w:val="bottom"/>
            <w:hideMark/>
          </w:tcPr>
          <w:p w14:paraId="332783FE"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Benchmark % p.a.</w:t>
            </w:r>
          </w:p>
        </w:tc>
        <w:tc>
          <w:tcPr>
            <w:tcW w:w="280" w:type="dxa"/>
            <w:tcBorders>
              <w:top w:val="nil"/>
              <w:left w:val="nil"/>
              <w:bottom w:val="nil"/>
              <w:right w:val="nil"/>
            </w:tcBorders>
            <w:shd w:val="clear" w:color="000000" w:fill="BDD7EE"/>
            <w:noWrap/>
            <w:vAlign w:val="bottom"/>
            <w:hideMark/>
          </w:tcPr>
          <w:p w14:paraId="0DFF7E1E"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4" w:space="0" w:color="auto"/>
            </w:tcBorders>
            <w:shd w:val="clear" w:color="000000" w:fill="BDD7EE"/>
            <w:noWrap/>
            <w:vAlign w:val="bottom"/>
            <w:hideMark/>
          </w:tcPr>
          <w:p w14:paraId="1D960C62" w14:textId="77777777" w:rsidR="00095E9F" w:rsidRPr="00095E9F" w:rsidRDefault="00095E9F" w:rsidP="00095E9F">
            <w:pPr>
              <w:jc w:val="right"/>
              <w:rPr>
                <w:rFonts w:cs="Arial"/>
                <w:b/>
                <w:bCs/>
                <w:color w:val="000000"/>
                <w:sz w:val="22"/>
                <w:szCs w:val="22"/>
                <w:lang w:eastAsia="en-GB"/>
              </w:rPr>
            </w:pPr>
            <w:r w:rsidRPr="00095E9F">
              <w:rPr>
                <w:rFonts w:cs="Arial"/>
                <w:b/>
                <w:bCs/>
                <w:color w:val="FF0000"/>
                <w:sz w:val="22"/>
                <w:szCs w:val="22"/>
                <w:lang w:eastAsia="en-GB"/>
              </w:rPr>
              <w:t>(5.0)</w:t>
            </w:r>
          </w:p>
        </w:tc>
        <w:tc>
          <w:tcPr>
            <w:tcW w:w="280" w:type="dxa"/>
            <w:tcBorders>
              <w:top w:val="nil"/>
              <w:left w:val="nil"/>
              <w:bottom w:val="nil"/>
              <w:right w:val="nil"/>
            </w:tcBorders>
            <w:shd w:val="clear" w:color="000000" w:fill="BDD7EE"/>
            <w:noWrap/>
            <w:vAlign w:val="bottom"/>
            <w:hideMark/>
          </w:tcPr>
          <w:p w14:paraId="2065CA05"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4" w:space="0" w:color="auto"/>
            </w:tcBorders>
            <w:shd w:val="clear" w:color="000000" w:fill="BDD7EE"/>
            <w:noWrap/>
            <w:vAlign w:val="bottom"/>
            <w:hideMark/>
          </w:tcPr>
          <w:p w14:paraId="7C03E10D"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7.9</w:t>
            </w:r>
          </w:p>
        </w:tc>
        <w:tc>
          <w:tcPr>
            <w:tcW w:w="280" w:type="dxa"/>
            <w:tcBorders>
              <w:top w:val="nil"/>
              <w:left w:val="nil"/>
              <w:bottom w:val="nil"/>
              <w:right w:val="nil"/>
            </w:tcBorders>
            <w:shd w:val="clear" w:color="000000" w:fill="BDD7EE"/>
            <w:noWrap/>
            <w:vAlign w:val="bottom"/>
            <w:hideMark/>
          </w:tcPr>
          <w:p w14:paraId="3BDDBB9D"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8" w:space="0" w:color="auto"/>
            </w:tcBorders>
            <w:shd w:val="clear" w:color="000000" w:fill="BDD7EE"/>
            <w:noWrap/>
            <w:vAlign w:val="bottom"/>
            <w:hideMark/>
          </w:tcPr>
          <w:p w14:paraId="447354AB"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5.3</w:t>
            </w:r>
          </w:p>
        </w:tc>
      </w:tr>
      <w:tr w:rsidR="00095E9F" w:rsidRPr="00095E9F" w14:paraId="49599B0C" w14:textId="77777777" w:rsidTr="003E70EC">
        <w:trPr>
          <w:trHeight w:val="285"/>
        </w:trPr>
        <w:tc>
          <w:tcPr>
            <w:tcW w:w="3457" w:type="dxa"/>
            <w:tcBorders>
              <w:top w:val="nil"/>
              <w:left w:val="single" w:sz="8" w:space="0" w:color="auto"/>
              <w:bottom w:val="nil"/>
              <w:right w:val="single" w:sz="4" w:space="0" w:color="auto"/>
            </w:tcBorders>
            <w:shd w:val="clear" w:color="000000" w:fill="BDD7EE"/>
            <w:noWrap/>
            <w:vAlign w:val="bottom"/>
            <w:hideMark/>
          </w:tcPr>
          <w:p w14:paraId="40111CC0"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280" w:type="dxa"/>
            <w:tcBorders>
              <w:top w:val="nil"/>
              <w:left w:val="nil"/>
              <w:bottom w:val="nil"/>
              <w:right w:val="nil"/>
            </w:tcBorders>
            <w:shd w:val="clear" w:color="000000" w:fill="BDD7EE"/>
            <w:noWrap/>
            <w:vAlign w:val="bottom"/>
            <w:hideMark/>
          </w:tcPr>
          <w:p w14:paraId="6B88D7F3"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4" w:space="0" w:color="auto"/>
            </w:tcBorders>
            <w:shd w:val="clear" w:color="000000" w:fill="BDD7EE"/>
            <w:noWrap/>
            <w:vAlign w:val="bottom"/>
            <w:hideMark/>
          </w:tcPr>
          <w:p w14:paraId="7BD17C2F"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280" w:type="dxa"/>
            <w:tcBorders>
              <w:top w:val="nil"/>
              <w:left w:val="nil"/>
              <w:bottom w:val="nil"/>
              <w:right w:val="nil"/>
            </w:tcBorders>
            <w:shd w:val="clear" w:color="000000" w:fill="BDD7EE"/>
            <w:noWrap/>
            <w:vAlign w:val="bottom"/>
            <w:hideMark/>
          </w:tcPr>
          <w:p w14:paraId="2E962178"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4" w:space="0" w:color="auto"/>
            </w:tcBorders>
            <w:shd w:val="clear" w:color="000000" w:fill="BDD7EE"/>
            <w:noWrap/>
            <w:vAlign w:val="bottom"/>
            <w:hideMark/>
          </w:tcPr>
          <w:p w14:paraId="508EBEF3"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280" w:type="dxa"/>
            <w:tcBorders>
              <w:top w:val="nil"/>
              <w:left w:val="nil"/>
              <w:bottom w:val="nil"/>
              <w:right w:val="nil"/>
            </w:tcBorders>
            <w:shd w:val="clear" w:color="000000" w:fill="BDD7EE"/>
            <w:noWrap/>
            <w:vAlign w:val="bottom"/>
            <w:hideMark/>
          </w:tcPr>
          <w:p w14:paraId="0F405FA0"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8" w:space="0" w:color="auto"/>
            </w:tcBorders>
            <w:shd w:val="clear" w:color="000000" w:fill="BDD7EE"/>
            <w:noWrap/>
            <w:vAlign w:val="bottom"/>
            <w:hideMark/>
          </w:tcPr>
          <w:p w14:paraId="33A12D74"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r>
      <w:tr w:rsidR="00095E9F" w:rsidRPr="00095E9F" w14:paraId="7F440218" w14:textId="77777777" w:rsidTr="003E70EC">
        <w:trPr>
          <w:trHeight w:val="285"/>
        </w:trPr>
        <w:tc>
          <w:tcPr>
            <w:tcW w:w="3457" w:type="dxa"/>
            <w:tcBorders>
              <w:top w:val="nil"/>
              <w:left w:val="single" w:sz="8" w:space="0" w:color="auto"/>
              <w:bottom w:val="nil"/>
              <w:right w:val="single" w:sz="4" w:space="0" w:color="auto"/>
            </w:tcBorders>
            <w:shd w:val="clear" w:color="000000" w:fill="8EA9DB"/>
            <w:noWrap/>
            <w:vAlign w:val="bottom"/>
            <w:hideMark/>
          </w:tcPr>
          <w:p w14:paraId="0D9E0862" w14:textId="5802868F"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xml:space="preserve">PIRC* Universe </w:t>
            </w:r>
            <w:r w:rsidR="003E70EC">
              <w:rPr>
                <w:rFonts w:cs="Arial"/>
                <w:b/>
                <w:bCs/>
                <w:color w:val="000000"/>
                <w:sz w:val="22"/>
                <w:szCs w:val="22"/>
                <w:lang w:eastAsia="en-GB"/>
              </w:rPr>
              <w:t xml:space="preserve">Average </w:t>
            </w:r>
            <w:r w:rsidRPr="00095E9F">
              <w:rPr>
                <w:rFonts w:cs="Arial"/>
                <w:b/>
                <w:bCs/>
                <w:color w:val="000000"/>
                <w:sz w:val="22"/>
                <w:szCs w:val="22"/>
                <w:lang w:eastAsia="en-GB"/>
              </w:rPr>
              <w:t>% p.a.</w:t>
            </w:r>
          </w:p>
        </w:tc>
        <w:tc>
          <w:tcPr>
            <w:tcW w:w="280" w:type="dxa"/>
            <w:tcBorders>
              <w:top w:val="nil"/>
              <w:left w:val="nil"/>
              <w:bottom w:val="nil"/>
              <w:right w:val="nil"/>
            </w:tcBorders>
            <w:shd w:val="clear" w:color="000000" w:fill="8EA9DB"/>
            <w:noWrap/>
            <w:vAlign w:val="bottom"/>
            <w:hideMark/>
          </w:tcPr>
          <w:p w14:paraId="02B45619"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4" w:space="0" w:color="auto"/>
            </w:tcBorders>
            <w:shd w:val="clear" w:color="000000" w:fill="8EA9DB"/>
            <w:noWrap/>
            <w:vAlign w:val="bottom"/>
            <w:hideMark/>
          </w:tcPr>
          <w:p w14:paraId="5B579CED" w14:textId="77777777" w:rsidR="00095E9F" w:rsidRPr="00095E9F" w:rsidRDefault="00095E9F" w:rsidP="00095E9F">
            <w:pPr>
              <w:jc w:val="right"/>
              <w:rPr>
                <w:rFonts w:cs="Arial"/>
                <w:b/>
                <w:bCs/>
                <w:color w:val="000000"/>
                <w:sz w:val="22"/>
                <w:szCs w:val="22"/>
                <w:lang w:eastAsia="en-GB"/>
              </w:rPr>
            </w:pPr>
            <w:r w:rsidRPr="00095E9F">
              <w:rPr>
                <w:rFonts w:cs="Arial"/>
                <w:b/>
                <w:bCs/>
                <w:color w:val="FF0000"/>
                <w:sz w:val="22"/>
                <w:szCs w:val="22"/>
                <w:lang w:eastAsia="en-GB"/>
              </w:rPr>
              <w:t>(1.7)</w:t>
            </w:r>
          </w:p>
        </w:tc>
        <w:tc>
          <w:tcPr>
            <w:tcW w:w="280" w:type="dxa"/>
            <w:tcBorders>
              <w:top w:val="nil"/>
              <w:left w:val="nil"/>
              <w:bottom w:val="nil"/>
              <w:right w:val="nil"/>
            </w:tcBorders>
            <w:shd w:val="clear" w:color="000000" w:fill="8EA9DB"/>
            <w:noWrap/>
            <w:vAlign w:val="bottom"/>
            <w:hideMark/>
          </w:tcPr>
          <w:p w14:paraId="4B2C1182"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4" w:space="0" w:color="auto"/>
            </w:tcBorders>
            <w:shd w:val="clear" w:color="000000" w:fill="8EA9DB"/>
            <w:noWrap/>
            <w:vAlign w:val="bottom"/>
            <w:hideMark/>
          </w:tcPr>
          <w:p w14:paraId="74A877CC"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9.5</w:t>
            </w:r>
          </w:p>
        </w:tc>
        <w:tc>
          <w:tcPr>
            <w:tcW w:w="280" w:type="dxa"/>
            <w:tcBorders>
              <w:top w:val="nil"/>
              <w:left w:val="nil"/>
              <w:bottom w:val="nil"/>
              <w:right w:val="nil"/>
            </w:tcBorders>
            <w:shd w:val="clear" w:color="000000" w:fill="8EA9DB"/>
            <w:noWrap/>
            <w:vAlign w:val="bottom"/>
            <w:hideMark/>
          </w:tcPr>
          <w:p w14:paraId="7E08C990"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8" w:space="0" w:color="auto"/>
            </w:tcBorders>
            <w:shd w:val="clear" w:color="000000" w:fill="8EA9DB"/>
            <w:noWrap/>
            <w:vAlign w:val="bottom"/>
            <w:hideMark/>
          </w:tcPr>
          <w:p w14:paraId="32298E47"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5.9</w:t>
            </w:r>
          </w:p>
        </w:tc>
      </w:tr>
      <w:tr w:rsidR="00095E9F" w:rsidRPr="00095E9F" w14:paraId="5D3A0385" w14:textId="77777777" w:rsidTr="003E70EC">
        <w:trPr>
          <w:trHeight w:val="285"/>
        </w:trPr>
        <w:tc>
          <w:tcPr>
            <w:tcW w:w="3457" w:type="dxa"/>
            <w:tcBorders>
              <w:top w:val="nil"/>
              <w:left w:val="single" w:sz="8" w:space="0" w:color="auto"/>
              <w:bottom w:val="nil"/>
              <w:right w:val="single" w:sz="4" w:space="0" w:color="auto"/>
            </w:tcBorders>
            <w:shd w:val="clear" w:color="000000" w:fill="8EA9DB"/>
            <w:noWrap/>
            <w:vAlign w:val="bottom"/>
            <w:hideMark/>
          </w:tcPr>
          <w:p w14:paraId="6F115DC8"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280" w:type="dxa"/>
            <w:tcBorders>
              <w:top w:val="nil"/>
              <w:left w:val="nil"/>
              <w:bottom w:val="nil"/>
              <w:right w:val="nil"/>
            </w:tcBorders>
            <w:shd w:val="clear" w:color="000000" w:fill="8EA9DB"/>
            <w:noWrap/>
            <w:vAlign w:val="bottom"/>
            <w:hideMark/>
          </w:tcPr>
          <w:p w14:paraId="0847C6A8"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4" w:space="0" w:color="auto"/>
            </w:tcBorders>
            <w:shd w:val="clear" w:color="000000" w:fill="8EA9DB"/>
            <w:noWrap/>
            <w:vAlign w:val="bottom"/>
            <w:hideMark/>
          </w:tcPr>
          <w:p w14:paraId="449CDE64"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280" w:type="dxa"/>
            <w:tcBorders>
              <w:top w:val="nil"/>
              <w:left w:val="nil"/>
              <w:bottom w:val="nil"/>
              <w:right w:val="nil"/>
            </w:tcBorders>
            <w:shd w:val="clear" w:color="000000" w:fill="8EA9DB"/>
            <w:noWrap/>
            <w:vAlign w:val="bottom"/>
            <w:hideMark/>
          </w:tcPr>
          <w:p w14:paraId="510C877B"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4" w:space="0" w:color="auto"/>
            </w:tcBorders>
            <w:shd w:val="clear" w:color="000000" w:fill="8EA9DB"/>
            <w:noWrap/>
            <w:vAlign w:val="bottom"/>
            <w:hideMark/>
          </w:tcPr>
          <w:p w14:paraId="68B65BC3"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280" w:type="dxa"/>
            <w:tcBorders>
              <w:top w:val="nil"/>
              <w:left w:val="nil"/>
              <w:bottom w:val="nil"/>
              <w:right w:val="nil"/>
            </w:tcBorders>
            <w:shd w:val="clear" w:color="000000" w:fill="8EA9DB"/>
            <w:noWrap/>
            <w:vAlign w:val="bottom"/>
            <w:hideMark/>
          </w:tcPr>
          <w:p w14:paraId="36EB3F20"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nil"/>
              <w:right w:val="single" w:sz="8" w:space="0" w:color="auto"/>
            </w:tcBorders>
            <w:shd w:val="clear" w:color="000000" w:fill="8EA9DB"/>
            <w:noWrap/>
            <w:vAlign w:val="bottom"/>
            <w:hideMark/>
          </w:tcPr>
          <w:p w14:paraId="79E18F0E"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r>
      <w:tr w:rsidR="00095E9F" w:rsidRPr="00095E9F" w14:paraId="394F4277" w14:textId="77777777" w:rsidTr="003E70EC">
        <w:trPr>
          <w:trHeight w:val="293"/>
        </w:trPr>
        <w:tc>
          <w:tcPr>
            <w:tcW w:w="3457" w:type="dxa"/>
            <w:tcBorders>
              <w:top w:val="nil"/>
              <w:left w:val="single" w:sz="8" w:space="0" w:color="auto"/>
              <w:bottom w:val="single" w:sz="8" w:space="0" w:color="auto"/>
              <w:right w:val="single" w:sz="4" w:space="0" w:color="auto"/>
            </w:tcBorders>
            <w:shd w:val="clear" w:color="000000" w:fill="CC66FF"/>
            <w:noWrap/>
            <w:vAlign w:val="bottom"/>
            <w:hideMark/>
          </w:tcPr>
          <w:p w14:paraId="15A5F3D7"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Ranking</w:t>
            </w:r>
          </w:p>
        </w:tc>
        <w:tc>
          <w:tcPr>
            <w:tcW w:w="280" w:type="dxa"/>
            <w:tcBorders>
              <w:top w:val="nil"/>
              <w:left w:val="nil"/>
              <w:bottom w:val="single" w:sz="8" w:space="0" w:color="auto"/>
              <w:right w:val="nil"/>
            </w:tcBorders>
            <w:shd w:val="clear" w:color="000000" w:fill="CC66FF"/>
            <w:noWrap/>
            <w:vAlign w:val="bottom"/>
            <w:hideMark/>
          </w:tcPr>
          <w:p w14:paraId="1A882F83"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single" w:sz="8" w:space="0" w:color="auto"/>
              <w:right w:val="single" w:sz="4" w:space="0" w:color="auto"/>
            </w:tcBorders>
            <w:shd w:val="clear" w:color="000000" w:fill="CC66FF"/>
            <w:noWrap/>
            <w:vAlign w:val="bottom"/>
            <w:hideMark/>
          </w:tcPr>
          <w:p w14:paraId="7593751A"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84</w:t>
            </w:r>
          </w:p>
        </w:tc>
        <w:tc>
          <w:tcPr>
            <w:tcW w:w="280" w:type="dxa"/>
            <w:tcBorders>
              <w:top w:val="nil"/>
              <w:left w:val="nil"/>
              <w:bottom w:val="single" w:sz="8" w:space="0" w:color="auto"/>
              <w:right w:val="nil"/>
            </w:tcBorders>
            <w:shd w:val="clear" w:color="000000" w:fill="CC66FF"/>
            <w:noWrap/>
            <w:vAlign w:val="bottom"/>
            <w:hideMark/>
          </w:tcPr>
          <w:p w14:paraId="35004F59"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single" w:sz="8" w:space="0" w:color="auto"/>
              <w:right w:val="single" w:sz="4" w:space="0" w:color="auto"/>
            </w:tcBorders>
            <w:shd w:val="clear" w:color="000000" w:fill="CC66FF"/>
            <w:noWrap/>
            <w:vAlign w:val="bottom"/>
            <w:hideMark/>
          </w:tcPr>
          <w:p w14:paraId="67F0C832"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84</w:t>
            </w:r>
          </w:p>
        </w:tc>
        <w:tc>
          <w:tcPr>
            <w:tcW w:w="280" w:type="dxa"/>
            <w:tcBorders>
              <w:top w:val="nil"/>
              <w:left w:val="nil"/>
              <w:bottom w:val="single" w:sz="8" w:space="0" w:color="auto"/>
              <w:right w:val="nil"/>
            </w:tcBorders>
            <w:shd w:val="clear" w:color="000000" w:fill="CC66FF"/>
            <w:noWrap/>
            <w:vAlign w:val="bottom"/>
            <w:hideMark/>
          </w:tcPr>
          <w:p w14:paraId="1B3D0F37"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 </w:t>
            </w:r>
          </w:p>
        </w:tc>
        <w:tc>
          <w:tcPr>
            <w:tcW w:w="1020" w:type="dxa"/>
            <w:tcBorders>
              <w:top w:val="nil"/>
              <w:left w:val="nil"/>
              <w:bottom w:val="single" w:sz="8" w:space="0" w:color="auto"/>
              <w:right w:val="single" w:sz="8" w:space="0" w:color="auto"/>
            </w:tcBorders>
            <w:shd w:val="clear" w:color="000000" w:fill="CC66FF"/>
            <w:noWrap/>
            <w:vAlign w:val="bottom"/>
            <w:hideMark/>
          </w:tcPr>
          <w:p w14:paraId="107D7DC9" w14:textId="77777777" w:rsidR="00095E9F" w:rsidRPr="00095E9F" w:rsidRDefault="00095E9F" w:rsidP="00095E9F">
            <w:pPr>
              <w:jc w:val="right"/>
              <w:rPr>
                <w:rFonts w:cs="Arial"/>
                <w:b/>
                <w:bCs/>
                <w:color w:val="000000"/>
                <w:sz w:val="22"/>
                <w:szCs w:val="22"/>
                <w:lang w:eastAsia="en-GB"/>
              </w:rPr>
            </w:pPr>
            <w:r w:rsidRPr="00095E9F">
              <w:rPr>
                <w:rFonts w:cs="Arial"/>
                <w:b/>
                <w:bCs/>
                <w:color w:val="000000"/>
                <w:sz w:val="22"/>
                <w:szCs w:val="22"/>
                <w:lang w:eastAsia="en-GB"/>
              </w:rPr>
              <w:t>98</w:t>
            </w:r>
          </w:p>
        </w:tc>
      </w:tr>
    </w:tbl>
    <w:p w14:paraId="61B0FD29" w14:textId="77777777" w:rsidR="00571F48" w:rsidRPr="00BC7689" w:rsidRDefault="00571F48" w:rsidP="00571F48">
      <w:pPr>
        <w:ind w:left="284"/>
        <w:jc w:val="both"/>
      </w:pPr>
    </w:p>
    <w:p w14:paraId="53256F02" w14:textId="38007A5C" w:rsidR="00CF1560" w:rsidRPr="003A51FE" w:rsidRDefault="00480F0B" w:rsidP="003A51FE">
      <w:pPr>
        <w:numPr>
          <w:ilvl w:val="0"/>
          <w:numId w:val="40"/>
        </w:numPr>
        <w:ind w:left="284" w:hanging="851"/>
        <w:jc w:val="both"/>
      </w:pPr>
      <w:r w:rsidRPr="003A51FE">
        <w:t>The fund’s underperformance against its benchmark return in all periods largely results from the poor performance of some of its investment managers. The Fund has taken steps to address this during 2021 and 2022, replacing two of its equity managers in that time.</w:t>
      </w:r>
    </w:p>
    <w:p w14:paraId="1ADABF32" w14:textId="77777777" w:rsidR="003E70EC" w:rsidRDefault="003E70EC" w:rsidP="003E70EC">
      <w:pPr>
        <w:ind w:left="284"/>
        <w:jc w:val="both"/>
      </w:pPr>
    </w:p>
    <w:p w14:paraId="452261AD" w14:textId="12C509C5" w:rsidR="00C44D5D" w:rsidRDefault="003E70EC" w:rsidP="00E54E13">
      <w:pPr>
        <w:numPr>
          <w:ilvl w:val="0"/>
          <w:numId w:val="40"/>
        </w:numPr>
        <w:ind w:left="284" w:hanging="851"/>
        <w:jc w:val="both"/>
      </w:pPr>
      <w:r w:rsidRPr="003E70EC">
        <w:t>The Fund remains below the Universe average over all time periods</w:t>
      </w:r>
      <w:r>
        <w:t xml:space="preserve">. </w:t>
      </w:r>
      <w:r w:rsidRPr="003E70EC">
        <w:t>Over the medium term the key factor in this has been the Benchmark that has been set, although over five years, whilst this remains</w:t>
      </w:r>
      <w:r>
        <w:t xml:space="preserve"> </w:t>
      </w:r>
      <w:r w:rsidRPr="003E70EC">
        <w:t>below the Universe average, it is the manager underperformance that has been the main contributo</w:t>
      </w:r>
      <w:r>
        <w:t>r</w:t>
      </w:r>
      <w:r w:rsidRPr="003E70EC">
        <w:t xml:space="preserve"> to the disappointing relative results.</w:t>
      </w:r>
    </w:p>
    <w:p w14:paraId="7D375BF5" w14:textId="77777777" w:rsidR="00C44D5D" w:rsidRDefault="00A77232" w:rsidP="00C44D5D">
      <w:pPr>
        <w:pStyle w:val="Heading2"/>
        <w:spacing w:after="240"/>
      </w:pPr>
      <w:r>
        <w:t>L</w:t>
      </w:r>
      <w:r w:rsidR="00E54E13">
        <w:t>egal Implications</w:t>
      </w:r>
    </w:p>
    <w:p w14:paraId="4FCFCC80" w14:textId="77777777" w:rsidR="00C44D5D" w:rsidRDefault="00C44D5D" w:rsidP="00C44D5D">
      <w:pPr>
        <w:pStyle w:val="ListParagraph"/>
        <w:rPr>
          <w:szCs w:val="24"/>
        </w:rPr>
      </w:pPr>
    </w:p>
    <w:p w14:paraId="7FE568A8" w14:textId="77777777" w:rsidR="00C44D5D" w:rsidRPr="002C42D7" w:rsidRDefault="00C44D5D" w:rsidP="00C44D5D">
      <w:pPr>
        <w:numPr>
          <w:ilvl w:val="0"/>
          <w:numId w:val="40"/>
        </w:numPr>
        <w:ind w:left="284" w:hanging="851"/>
        <w:jc w:val="both"/>
        <w:rPr>
          <w:szCs w:val="24"/>
        </w:rPr>
      </w:pPr>
      <w:bookmarkStart w:id="1" w:name="_Hlk148020004"/>
      <w:r w:rsidRPr="002C42D7">
        <w:rPr>
          <w:szCs w:val="24"/>
        </w:rPr>
        <w:t>There are no direct legal implications arising from this report.</w:t>
      </w:r>
    </w:p>
    <w:p w14:paraId="1EECF5E9" w14:textId="77777777" w:rsidR="00C44D5D" w:rsidRPr="002C42D7" w:rsidRDefault="00C44D5D" w:rsidP="00C44D5D">
      <w:pPr>
        <w:pStyle w:val="ListParagraph"/>
        <w:rPr>
          <w:sz w:val="24"/>
          <w:szCs w:val="24"/>
        </w:rPr>
      </w:pPr>
    </w:p>
    <w:p w14:paraId="6B48B708" w14:textId="77777777" w:rsidR="00C44D5D" w:rsidRPr="002C42D7" w:rsidRDefault="00C44D5D" w:rsidP="00C44D5D">
      <w:pPr>
        <w:numPr>
          <w:ilvl w:val="0"/>
          <w:numId w:val="40"/>
        </w:numPr>
        <w:ind w:left="284" w:hanging="851"/>
        <w:jc w:val="both"/>
        <w:rPr>
          <w:szCs w:val="24"/>
        </w:rPr>
      </w:pPr>
      <w:r w:rsidRPr="002C42D7">
        <w:rPr>
          <w:szCs w:val="24"/>
        </w:rPr>
        <w:t xml:space="preserve">The terms of reference for the Board include the Board’s role as set out in the following paragraphs. </w:t>
      </w:r>
    </w:p>
    <w:p w14:paraId="5FA295E8" w14:textId="77777777" w:rsidR="00C44D5D" w:rsidRPr="002C42D7" w:rsidRDefault="00C44D5D" w:rsidP="00C44D5D">
      <w:pPr>
        <w:pStyle w:val="ListParagraph"/>
        <w:rPr>
          <w:color w:val="262626"/>
          <w:sz w:val="24"/>
          <w:szCs w:val="24"/>
        </w:rPr>
      </w:pPr>
    </w:p>
    <w:p w14:paraId="4C97D1AA" w14:textId="78167093" w:rsidR="00C44D5D" w:rsidRPr="002C42D7" w:rsidRDefault="00C44D5D" w:rsidP="00C44D5D">
      <w:pPr>
        <w:numPr>
          <w:ilvl w:val="0"/>
          <w:numId w:val="40"/>
        </w:numPr>
        <w:ind w:left="284" w:hanging="851"/>
        <w:jc w:val="both"/>
        <w:rPr>
          <w:szCs w:val="24"/>
        </w:rPr>
      </w:pPr>
      <w:r w:rsidRPr="002C42D7">
        <w:rPr>
          <w:rFonts w:cs="Arial"/>
          <w:color w:val="262626"/>
          <w:szCs w:val="24"/>
          <w:lang w:eastAsia="en-GB"/>
        </w:rPr>
        <w:t xml:space="preserve">The role of the Board, as defined by sections 5(1) and (2) of the Public Service Pensions Act 2013, is to assist the Administering Authority (London </w:t>
      </w:r>
      <w:r w:rsidRPr="002C42D7">
        <w:rPr>
          <w:rFonts w:cs="Arial"/>
          <w:color w:val="262626"/>
          <w:szCs w:val="24"/>
          <w:lang w:eastAsia="en-GB"/>
        </w:rPr>
        <w:lastRenderedPageBreak/>
        <w:t>Borough of Harrow) as Scheme Manager in ensuring the effective and efficient governance and administration of the Local Government Pension Scheme (LGPS) including:</w:t>
      </w:r>
    </w:p>
    <w:p w14:paraId="0FE9B8BB" w14:textId="77777777" w:rsidR="00C44D5D" w:rsidRPr="002C42D7" w:rsidRDefault="00C44D5D" w:rsidP="00C44D5D">
      <w:pPr>
        <w:jc w:val="both"/>
        <w:rPr>
          <w:szCs w:val="24"/>
        </w:rPr>
      </w:pPr>
    </w:p>
    <w:p w14:paraId="44418919" w14:textId="77777777" w:rsidR="00C44D5D" w:rsidRPr="002C42D7" w:rsidRDefault="00C44D5D" w:rsidP="00C44D5D">
      <w:pPr>
        <w:pStyle w:val="ListParagraph"/>
        <w:numPr>
          <w:ilvl w:val="0"/>
          <w:numId w:val="48"/>
        </w:numPr>
        <w:shd w:val="clear" w:color="auto" w:fill="FFFFFF"/>
        <w:rPr>
          <w:color w:val="262626"/>
          <w:sz w:val="24"/>
          <w:szCs w:val="24"/>
        </w:rPr>
      </w:pPr>
      <w:r w:rsidRPr="002C42D7">
        <w:rPr>
          <w:color w:val="262626"/>
          <w:sz w:val="24"/>
          <w:szCs w:val="24"/>
        </w:rPr>
        <w:t>securing compliance with the LGPS regulations and other legislation relating to the governance and administration of the LGPS;</w:t>
      </w:r>
    </w:p>
    <w:p w14:paraId="2135699D" w14:textId="77777777" w:rsidR="00C44D5D" w:rsidRPr="002C42D7" w:rsidRDefault="00C44D5D" w:rsidP="00C44D5D">
      <w:pPr>
        <w:pStyle w:val="ListParagraph"/>
        <w:numPr>
          <w:ilvl w:val="0"/>
          <w:numId w:val="48"/>
        </w:numPr>
        <w:shd w:val="clear" w:color="auto" w:fill="FFFFFF"/>
        <w:rPr>
          <w:color w:val="262626"/>
          <w:sz w:val="24"/>
          <w:szCs w:val="24"/>
        </w:rPr>
      </w:pPr>
      <w:r w:rsidRPr="002C42D7">
        <w:rPr>
          <w:color w:val="262626"/>
          <w:sz w:val="24"/>
          <w:szCs w:val="24"/>
        </w:rPr>
        <w:t>securing compliance with requirements imposed in relation to the LGPS by the Pensions Regulator; and</w:t>
      </w:r>
    </w:p>
    <w:p w14:paraId="1921643C" w14:textId="77777777" w:rsidR="00C44D5D" w:rsidRPr="002C42D7" w:rsidRDefault="00C44D5D" w:rsidP="00C44D5D">
      <w:pPr>
        <w:pStyle w:val="ListParagraph"/>
        <w:numPr>
          <w:ilvl w:val="0"/>
          <w:numId w:val="48"/>
        </w:numPr>
        <w:shd w:val="clear" w:color="auto" w:fill="FFFFFF"/>
        <w:spacing w:after="160"/>
        <w:rPr>
          <w:color w:val="262626"/>
          <w:sz w:val="24"/>
          <w:szCs w:val="24"/>
        </w:rPr>
      </w:pPr>
      <w:r w:rsidRPr="002C42D7">
        <w:rPr>
          <w:color w:val="262626"/>
          <w:sz w:val="24"/>
          <w:szCs w:val="24"/>
        </w:rPr>
        <w:t>such other matters the LGPS regulations may specify.</w:t>
      </w:r>
    </w:p>
    <w:p w14:paraId="06FB82A9" w14:textId="77777777" w:rsidR="00C44D5D" w:rsidRPr="002C42D7" w:rsidRDefault="00C44D5D" w:rsidP="00C44D5D">
      <w:pPr>
        <w:jc w:val="both"/>
        <w:rPr>
          <w:szCs w:val="24"/>
        </w:rPr>
      </w:pPr>
    </w:p>
    <w:p w14:paraId="775342B1" w14:textId="77777777" w:rsidR="00C44D5D" w:rsidRPr="002C42D7" w:rsidRDefault="00C44D5D" w:rsidP="00C44D5D">
      <w:pPr>
        <w:pStyle w:val="ListParagraph"/>
        <w:rPr>
          <w:color w:val="262626"/>
          <w:sz w:val="24"/>
          <w:szCs w:val="24"/>
        </w:rPr>
      </w:pPr>
    </w:p>
    <w:p w14:paraId="57B76F92" w14:textId="77777777" w:rsidR="00C44D5D" w:rsidRPr="002C42D7" w:rsidRDefault="00C44D5D" w:rsidP="00C44D5D">
      <w:pPr>
        <w:numPr>
          <w:ilvl w:val="0"/>
          <w:numId w:val="40"/>
        </w:numPr>
        <w:ind w:left="284" w:hanging="851"/>
        <w:jc w:val="both"/>
        <w:rPr>
          <w:szCs w:val="24"/>
        </w:rPr>
      </w:pPr>
      <w:r w:rsidRPr="002C42D7">
        <w:rPr>
          <w:rFonts w:cs="Arial"/>
          <w:color w:val="262626"/>
          <w:szCs w:val="24"/>
          <w:lang w:eastAsia="en-GB"/>
        </w:rPr>
        <w:t>The Administering Authority retains ultimate responsibility for the administration and governance of the scheme.  The role of the Board is to support the Administering Authority to fulfil that responsibility. </w:t>
      </w:r>
    </w:p>
    <w:p w14:paraId="334025C8" w14:textId="77777777" w:rsidR="00C44D5D" w:rsidRPr="002C42D7" w:rsidRDefault="00C44D5D" w:rsidP="00C44D5D">
      <w:pPr>
        <w:pStyle w:val="ListParagraph"/>
        <w:rPr>
          <w:color w:val="262626"/>
          <w:sz w:val="24"/>
          <w:szCs w:val="24"/>
        </w:rPr>
      </w:pPr>
    </w:p>
    <w:p w14:paraId="54325C80" w14:textId="43F4C85B" w:rsidR="00C44D5D" w:rsidRPr="002C42D7" w:rsidRDefault="00C44D5D" w:rsidP="00C44D5D">
      <w:pPr>
        <w:numPr>
          <w:ilvl w:val="0"/>
          <w:numId w:val="40"/>
        </w:numPr>
        <w:ind w:left="284" w:hanging="851"/>
        <w:jc w:val="both"/>
        <w:rPr>
          <w:szCs w:val="24"/>
        </w:rPr>
      </w:pPr>
      <w:r w:rsidRPr="002C42D7">
        <w:rPr>
          <w:rFonts w:cs="Arial"/>
          <w:color w:val="262626"/>
          <w:szCs w:val="24"/>
          <w:lang w:eastAsia="en-GB"/>
        </w:rPr>
        <w:t>In its role, The Board will have oversight of the administration of the fund including:</w:t>
      </w:r>
    </w:p>
    <w:p w14:paraId="2E8DAC07" w14:textId="77777777" w:rsidR="00C44D5D" w:rsidRPr="002C42D7" w:rsidRDefault="00C44D5D" w:rsidP="00C44D5D">
      <w:pPr>
        <w:pStyle w:val="ListParagraph"/>
        <w:rPr>
          <w:sz w:val="24"/>
          <w:szCs w:val="24"/>
        </w:rPr>
      </w:pPr>
    </w:p>
    <w:p w14:paraId="0C0D56EC" w14:textId="4CDC0BB9" w:rsidR="00C44D5D" w:rsidRPr="002C42D7" w:rsidRDefault="00C44D5D" w:rsidP="00C44D5D">
      <w:pPr>
        <w:pStyle w:val="ListParagraph"/>
        <w:numPr>
          <w:ilvl w:val="0"/>
          <w:numId w:val="49"/>
        </w:numPr>
        <w:shd w:val="clear" w:color="auto" w:fill="FFFFFF"/>
        <w:rPr>
          <w:color w:val="262626"/>
          <w:sz w:val="24"/>
          <w:szCs w:val="24"/>
        </w:rPr>
      </w:pPr>
      <w:r w:rsidRPr="002C42D7">
        <w:rPr>
          <w:color w:val="262626"/>
          <w:sz w:val="24"/>
          <w:szCs w:val="24"/>
        </w:rPr>
        <w:t>The effectiveness of the decision making process</w:t>
      </w:r>
    </w:p>
    <w:p w14:paraId="76CC4F0F" w14:textId="53902EAD" w:rsidR="00C44D5D" w:rsidRPr="002C42D7" w:rsidRDefault="00C44D5D" w:rsidP="00C44D5D">
      <w:pPr>
        <w:pStyle w:val="ListParagraph"/>
        <w:numPr>
          <w:ilvl w:val="0"/>
          <w:numId w:val="49"/>
        </w:numPr>
        <w:shd w:val="clear" w:color="auto" w:fill="FFFFFF"/>
        <w:rPr>
          <w:color w:val="262626"/>
          <w:sz w:val="24"/>
          <w:szCs w:val="24"/>
        </w:rPr>
      </w:pPr>
      <w:r w:rsidRPr="002C42D7">
        <w:rPr>
          <w:color w:val="262626"/>
          <w:sz w:val="24"/>
          <w:szCs w:val="24"/>
        </w:rPr>
        <w:t>The direction of the Fund and its overall objectives</w:t>
      </w:r>
    </w:p>
    <w:p w14:paraId="1701DC8D" w14:textId="695D2328" w:rsidR="00C44D5D" w:rsidRPr="002C42D7" w:rsidRDefault="00C44D5D" w:rsidP="00C44D5D">
      <w:pPr>
        <w:pStyle w:val="ListParagraph"/>
        <w:numPr>
          <w:ilvl w:val="0"/>
          <w:numId w:val="49"/>
        </w:numPr>
        <w:shd w:val="clear" w:color="auto" w:fill="FFFFFF"/>
        <w:rPr>
          <w:color w:val="262626"/>
          <w:sz w:val="24"/>
          <w:szCs w:val="24"/>
        </w:rPr>
      </w:pPr>
      <w:r w:rsidRPr="002C42D7">
        <w:rPr>
          <w:color w:val="262626"/>
          <w:sz w:val="24"/>
          <w:szCs w:val="24"/>
        </w:rPr>
        <w:t>The level of transparency in the conduct of the Fund’s activities</w:t>
      </w:r>
    </w:p>
    <w:p w14:paraId="3D76C87E" w14:textId="4C07A787" w:rsidR="00C44D5D" w:rsidRPr="002C42D7" w:rsidRDefault="00C44D5D" w:rsidP="00C44D5D">
      <w:pPr>
        <w:pStyle w:val="ListParagraph"/>
        <w:numPr>
          <w:ilvl w:val="0"/>
          <w:numId w:val="49"/>
        </w:numPr>
        <w:shd w:val="clear" w:color="auto" w:fill="FFFFFF"/>
        <w:rPr>
          <w:color w:val="262626"/>
          <w:sz w:val="24"/>
          <w:szCs w:val="24"/>
        </w:rPr>
      </w:pPr>
      <w:r w:rsidRPr="002C42D7">
        <w:rPr>
          <w:color w:val="262626"/>
          <w:sz w:val="24"/>
          <w:szCs w:val="24"/>
        </w:rPr>
        <w:t>The administration of benefits and contributions</w:t>
      </w:r>
    </w:p>
    <w:p w14:paraId="2B13764A" w14:textId="77777777" w:rsidR="00C44D5D" w:rsidRPr="002C42D7" w:rsidRDefault="00C44D5D" w:rsidP="00C44D5D">
      <w:pPr>
        <w:rPr>
          <w:color w:val="262626"/>
          <w:szCs w:val="24"/>
        </w:rPr>
      </w:pPr>
    </w:p>
    <w:p w14:paraId="641EAE08" w14:textId="77777777" w:rsidR="00C44D5D" w:rsidRPr="002C42D7" w:rsidRDefault="00C44D5D" w:rsidP="00C44D5D">
      <w:pPr>
        <w:numPr>
          <w:ilvl w:val="0"/>
          <w:numId w:val="40"/>
        </w:numPr>
        <w:ind w:left="284" w:hanging="851"/>
        <w:jc w:val="both"/>
        <w:rPr>
          <w:szCs w:val="24"/>
        </w:rPr>
      </w:pPr>
      <w:r w:rsidRPr="002C42D7">
        <w:rPr>
          <w:rFonts w:cs="Arial"/>
          <w:color w:val="262626"/>
          <w:szCs w:val="24"/>
          <w:lang w:eastAsia="en-GB"/>
        </w:rPr>
        <w:t>The Board will provide the Scheme Manager with such information as it requires to ensure that any Member of the Board or person to be appointed to the Board does not have a conflict of interest.</w:t>
      </w:r>
    </w:p>
    <w:p w14:paraId="08074F43" w14:textId="77777777" w:rsidR="00C44D5D" w:rsidRPr="002C42D7" w:rsidRDefault="00C44D5D" w:rsidP="00C44D5D">
      <w:pPr>
        <w:pStyle w:val="ListParagraph"/>
        <w:rPr>
          <w:color w:val="262626"/>
          <w:sz w:val="24"/>
          <w:szCs w:val="24"/>
        </w:rPr>
      </w:pPr>
    </w:p>
    <w:p w14:paraId="5B8EA627" w14:textId="77777777" w:rsidR="00C44D5D" w:rsidRPr="002C42D7" w:rsidRDefault="00C44D5D" w:rsidP="00C44D5D">
      <w:pPr>
        <w:numPr>
          <w:ilvl w:val="0"/>
          <w:numId w:val="40"/>
        </w:numPr>
        <w:ind w:left="284" w:hanging="851"/>
        <w:jc w:val="both"/>
        <w:rPr>
          <w:szCs w:val="24"/>
        </w:rPr>
      </w:pPr>
      <w:r w:rsidRPr="002C42D7">
        <w:rPr>
          <w:rFonts w:cs="Arial"/>
          <w:color w:val="262626"/>
          <w:szCs w:val="24"/>
          <w:lang w:eastAsia="en-GB"/>
        </w:rPr>
        <w:t>The Board will ensure it effectively and efficiently complies with the Code of Practice on the Governance and Administration of Public Service Pension Schemes issued by the Pensions Regulator.  It will help to ensure that the Fund is managed in the same way.</w:t>
      </w:r>
    </w:p>
    <w:p w14:paraId="0A88FA3E" w14:textId="77777777" w:rsidR="00C44D5D" w:rsidRPr="002C42D7" w:rsidRDefault="00C44D5D" w:rsidP="00C44D5D">
      <w:pPr>
        <w:pStyle w:val="ListParagraph"/>
        <w:rPr>
          <w:color w:val="262626"/>
          <w:sz w:val="24"/>
          <w:szCs w:val="24"/>
        </w:rPr>
      </w:pPr>
    </w:p>
    <w:p w14:paraId="4685455F" w14:textId="3127B670" w:rsidR="00C44D5D" w:rsidRPr="002C42D7" w:rsidRDefault="00C44D5D" w:rsidP="00C44D5D">
      <w:pPr>
        <w:numPr>
          <w:ilvl w:val="0"/>
          <w:numId w:val="40"/>
        </w:numPr>
        <w:ind w:left="284" w:hanging="851"/>
        <w:jc w:val="both"/>
        <w:rPr>
          <w:szCs w:val="24"/>
        </w:rPr>
      </w:pPr>
      <w:r w:rsidRPr="002C42D7">
        <w:rPr>
          <w:rFonts w:cs="Arial"/>
          <w:color w:val="262626"/>
          <w:szCs w:val="24"/>
          <w:lang w:eastAsia="en-GB"/>
        </w:rPr>
        <w:t>The Board shall meet sufficiently regularly to discharge its duties and responsibilities effectively.</w:t>
      </w:r>
    </w:p>
    <w:bookmarkEnd w:id="1"/>
    <w:p w14:paraId="40A4BAC0" w14:textId="77777777" w:rsidR="007B6C97" w:rsidRDefault="007B6C97" w:rsidP="007B6C97">
      <w:pPr>
        <w:pStyle w:val="Heading2"/>
        <w:spacing w:after="240"/>
      </w:pPr>
      <w:r>
        <w:t>Financial Implications</w:t>
      </w:r>
    </w:p>
    <w:p w14:paraId="76570658" w14:textId="77777777" w:rsidR="00480F0B" w:rsidRPr="00480F0B" w:rsidRDefault="00480F0B" w:rsidP="00346244">
      <w:pPr>
        <w:numPr>
          <w:ilvl w:val="0"/>
          <w:numId w:val="40"/>
        </w:numPr>
        <w:tabs>
          <w:tab w:val="clear" w:pos="584"/>
          <w:tab w:val="num" w:pos="284"/>
        </w:tabs>
        <w:autoSpaceDE w:val="0"/>
        <w:autoSpaceDN w:val="0"/>
        <w:adjustRightInd w:val="0"/>
        <w:ind w:left="284" w:hanging="851"/>
        <w:jc w:val="both"/>
      </w:pPr>
      <w:r w:rsidRPr="00480F0B">
        <w:t>Whilst the financial health of the Pension Fund directly affects the level of employer contribution which, in turn, affects the resources available for the Council’s priorities there are no impacts arising directly from this report.</w:t>
      </w:r>
    </w:p>
    <w:p w14:paraId="2B1DEF02" w14:textId="77777777" w:rsidR="00690F76" w:rsidRPr="003D2FFE" w:rsidRDefault="00690F76" w:rsidP="00B902AE">
      <w:pPr>
        <w:pStyle w:val="Heading2"/>
        <w:spacing w:after="240"/>
        <w:jc w:val="both"/>
      </w:pPr>
      <w:r>
        <w:t>Risk Management Implications</w:t>
      </w:r>
    </w:p>
    <w:p w14:paraId="564A448C" w14:textId="0CD350C5" w:rsidR="007B6C97" w:rsidRPr="00690F76" w:rsidRDefault="00690F76" w:rsidP="00346244">
      <w:pPr>
        <w:numPr>
          <w:ilvl w:val="0"/>
          <w:numId w:val="40"/>
        </w:numPr>
        <w:tabs>
          <w:tab w:val="clear" w:pos="584"/>
          <w:tab w:val="num" w:pos="284"/>
        </w:tabs>
        <w:autoSpaceDE w:val="0"/>
        <w:autoSpaceDN w:val="0"/>
        <w:adjustRightInd w:val="0"/>
        <w:ind w:left="284" w:hanging="851"/>
        <w:jc w:val="both"/>
        <w:rPr>
          <w:rFonts w:cs="Arial"/>
          <w:color w:val="000000"/>
          <w:szCs w:val="24"/>
          <w:lang w:eastAsia="en-GB"/>
        </w:rPr>
      </w:pPr>
      <w:r w:rsidRPr="00690F76">
        <w:rPr>
          <w:szCs w:val="24"/>
          <w:lang w:val="en-US"/>
        </w:rPr>
        <w:t xml:space="preserve">Risks included on corporate or directorate risk </w:t>
      </w:r>
      <w:r w:rsidR="00B902AE" w:rsidRPr="00690F76">
        <w:rPr>
          <w:szCs w:val="24"/>
          <w:lang w:val="en-US"/>
        </w:rPr>
        <w:t>register</w:t>
      </w:r>
      <w:r w:rsidR="00B902AE">
        <w:rPr>
          <w:szCs w:val="24"/>
          <w:lang w:val="en-US"/>
        </w:rPr>
        <w:t>?</w:t>
      </w:r>
      <w:r w:rsidRPr="00690F76">
        <w:rPr>
          <w:szCs w:val="24"/>
          <w:lang w:val="en-US"/>
        </w:rPr>
        <w:t xml:space="preserve"> </w:t>
      </w:r>
      <w:r w:rsidRPr="00690F76">
        <w:rPr>
          <w:b/>
          <w:bCs/>
          <w:szCs w:val="24"/>
          <w:lang w:val="en-US"/>
        </w:rPr>
        <w:t>No</w:t>
      </w:r>
      <w:r w:rsidRPr="00690F76">
        <w:rPr>
          <w:szCs w:val="24"/>
          <w:lang w:val="en-US"/>
        </w:rPr>
        <w:t xml:space="preserve"> </w:t>
      </w:r>
    </w:p>
    <w:p w14:paraId="0A3EA8F0" w14:textId="11BFE7CF" w:rsidR="00690F76" w:rsidRPr="00690F76" w:rsidRDefault="00346244" w:rsidP="00346244">
      <w:pPr>
        <w:tabs>
          <w:tab w:val="num" w:pos="284"/>
        </w:tabs>
        <w:ind w:right="141"/>
        <w:jc w:val="both"/>
        <w:rPr>
          <w:color w:val="4F81BD" w:themeColor="accent1"/>
          <w:szCs w:val="24"/>
          <w:lang w:val="en-US"/>
        </w:rPr>
      </w:pPr>
      <w:r>
        <w:rPr>
          <w:szCs w:val="24"/>
          <w:lang w:val="en-US"/>
        </w:rPr>
        <w:tab/>
      </w:r>
      <w:r w:rsidR="00690F76" w:rsidRPr="00690F76">
        <w:rPr>
          <w:szCs w:val="24"/>
          <w:lang w:val="en-US"/>
        </w:rPr>
        <w:t xml:space="preserve">Separate risk register in place? </w:t>
      </w:r>
      <w:r w:rsidR="00690F76" w:rsidRPr="00690F76">
        <w:rPr>
          <w:b/>
          <w:bCs/>
          <w:szCs w:val="24"/>
          <w:lang w:val="en-US"/>
        </w:rPr>
        <w:t>Yes</w:t>
      </w:r>
    </w:p>
    <w:p w14:paraId="1EB19CA1" w14:textId="77777777" w:rsidR="00690F76" w:rsidRPr="00690F76" w:rsidRDefault="00690F76" w:rsidP="00B902AE">
      <w:pPr>
        <w:autoSpaceDE w:val="0"/>
        <w:autoSpaceDN w:val="0"/>
        <w:adjustRightInd w:val="0"/>
        <w:ind w:left="426"/>
        <w:jc w:val="both"/>
        <w:rPr>
          <w:rFonts w:cs="Arial"/>
          <w:color w:val="000000"/>
          <w:szCs w:val="24"/>
          <w:lang w:eastAsia="en-GB"/>
        </w:rPr>
      </w:pPr>
    </w:p>
    <w:p w14:paraId="40F78A56" w14:textId="71BA66B5" w:rsidR="003F5AF9" w:rsidRPr="00480F0B" w:rsidRDefault="00690F76" w:rsidP="00346244">
      <w:pPr>
        <w:numPr>
          <w:ilvl w:val="0"/>
          <w:numId w:val="40"/>
        </w:numPr>
        <w:autoSpaceDE w:val="0"/>
        <w:autoSpaceDN w:val="0"/>
        <w:adjustRightInd w:val="0"/>
        <w:ind w:left="284" w:hanging="851"/>
        <w:jc w:val="both"/>
        <w:rPr>
          <w:rFonts w:cs="Arial"/>
          <w:color w:val="000000"/>
          <w:szCs w:val="24"/>
          <w:lang w:eastAsia="en-GB"/>
        </w:rPr>
      </w:pPr>
      <w:r w:rsidRPr="00690F76">
        <w:t>The Pension Fund’s Risk Register is reviewed regularly by both th</w:t>
      </w:r>
      <w:r>
        <w:t>is</w:t>
      </w:r>
      <w:r w:rsidRPr="00690F76">
        <w:t xml:space="preserve"> Committee and by the Pension Board. </w:t>
      </w:r>
    </w:p>
    <w:p w14:paraId="17031109" w14:textId="77777777" w:rsidR="00480F0B" w:rsidRPr="00480F0B" w:rsidRDefault="00480F0B" w:rsidP="00480F0B">
      <w:pPr>
        <w:autoSpaceDE w:val="0"/>
        <w:autoSpaceDN w:val="0"/>
        <w:adjustRightInd w:val="0"/>
        <w:ind w:left="426"/>
        <w:jc w:val="both"/>
        <w:rPr>
          <w:rFonts w:cs="Arial"/>
          <w:color w:val="000000"/>
          <w:szCs w:val="24"/>
          <w:lang w:eastAsia="en-GB"/>
        </w:rPr>
      </w:pPr>
    </w:p>
    <w:p w14:paraId="2B078D5F" w14:textId="15C7C654" w:rsidR="003F5AF9" w:rsidRPr="00001D28" w:rsidRDefault="003F5AF9" w:rsidP="00346244">
      <w:pPr>
        <w:numPr>
          <w:ilvl w:val="0"/>
          <w:numId w:val="40"/>
        </w:numPr>
        <w:tabs>
          <w:tab w:val="clear" w:pos="584"/>
          <w:tab w:val="num" w:pos="284"/>
        </w:tabs>
        <w:autoSpaceDE w:val="0"/>
        <w:autoSpaceDN w:val="0"/>
        <w:adjustRightInd w:val="0"/>
        <w:ind w:left="284" w:hanging="851"/>
        <w:jc w:val="both"/>
        <w:rPr>
          <w:rFonts w:cs="Arial"/>
          <w:color w:val="000000"/>
          <w:szCs w:val="24"/>
          <w:lang w:eastAsia="en-GB"/>
        </w:rPr>
      </w:pPr>
      <w:r w:rsidRPr="00690F76">
        <w:lastRenderedPageBreak/>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44D33D1F" w14:textId="7BC941B4" w:rsidR="00FD31A0" w:rsidRPr="003F5AF9" w:rsidRDefault="00FD31A0" w:rsidP="00B902AE">
      <w:pPr>
        <w:pStyle w:val="Heading2"/>
        <w:keepNext/>
        <w:spacing w:after="240"/>
        <w:jc w:val="both"/>
      </w:pPr>
      <w:r w:rsidRPr="003F5AF9">
        <w:t>Equalities implications</w:t>
      </w:r>
      <w:r w:rsidR="00213BE7" w:rsidRPr="003F5AF9">
        <w:t xml:space="preserve"> / Public Sector Equality Duty </w:t>
      </w:r>
    </w:p>
    <w:p w14:paraId="45958F5A" w14:textId="77777777" w:rsidR="003F5AF9" w:rsidRPr="002E705F" w:rsidRDefault="003F5AF9" w:rsidP="00346244">
      <w:pPr>
        <w:numPr>
          <w:ilvl w:val="0"/>
          <w:numId w:val="40"/>
        </w:numPr>
        <w:tabs>
          <w:tab w:val="clear" w:pos="584"/>
          <w:tab w:val="num" w:pos="284"/>
        </w:tabs>
        <w:autoSpaceDE w:val="0"/>
        <w:autoSpaceDN w:val="0"/>
        <w:adjustRightInd w:val="0"/>
        <w:ind w:hanging="1151"/>
        <w:jc w:val="both"/>
        <w:rPr>
          <w:rFonts w:cs="Arial"/>
          <w:color w:val="000000"/>
          <w:szCs w:val="24"/>
          <w:lang w:eastAsia="en-GB"/>
        </w:rPr>
      </w:pPr>
      <w:r w:rsidRPr="002E705F">
        <w:rPr>
          <w:szCs w:val="24"/>
        </w:rPr>
        <w:t xml:space="preserve">Was an Equality Impact Assessment carried out?  No </w:t>
      </w:r>
    </w:p>
    <w:p w14:paraId="0C2F27D8" w14:textId="4DBA45E0" w:rsidR="00FD31A0" w:rsidRPr="004A2543" w:rsidRDefault="00346244" w:rsidP="00346244">
      <w:pPr>
        <w:tabs>
          <w:tab w:val="num" w:pos="284"/>
        </w:tabs>
        <w:autoSpaceDE w:val="0"/>
        <w:autoSpaceDN w:val="0"/>
        <w:adjustRightInd w:val="0"/>
        <w:jc w:val="both"/>
      </w:pPr>
      <w:r>
        <w:rPr>
          <w:szCs w:val="24"/>
        </w:rPr>
        <w:tab/>
      </w:r>
      <w:r w:rsidR="003F5AF9" w:rsidRPr="002E705F">
        <w:rPr>
          <w:szCs w:val="24"/>
        </w:rPr>
        <w:t>There are no direct equalities implications arising from this report.</w:t>
      </w:r>
    </w:p>
    <w:p w14:paraId="1EF4F8CB" w14:textId="77777777" w:rsidR="004B4A47" w:rsidRPr="003F5AF9" w:rsidRDefault="00AC0AAB" w:rsidP="00B902AE">
      <w:pPr>
        <w:pStyle w:val="Heading2"/>
        <w:spacing w:after="240"/>
        <w:jc w:val="both"/>
      </w:pPr>
      <w:r w:rsidRPr="003F5AF9">
        <w:t xml:space="preserve">Council </w:t>
      </w:r>
      <w:r w:rsidR="004B4A47" w:rsidRPr="003F5AF9">
        <w:t>Priorities</w:t>
      </w:r>
    </w:p>
    <w:p w14:paraId="13CD0946" w14:textId="2E70E655" w:rsidR="003F5AF9" w:rsidRPr="001744D1" w:rsidRDefault="003F5AF9" w:rsidP="00346244">
      <w:pPr>
        <w:numPr>
          <w:ilvl w:val="0"/>
          <w:numId w:val="40"/>
        </w:numPr>
        <w:tabs>
          <w:tab w:val="clear" w:pos="584"/>
          <w:tab w:val="num" w:pos="284"/>
        </w:tabs>
        <w:autoSpaceDE w:val="0"/>
        <w:autoSpaceDN w:val="0"/>
        <w:adjustRightInd w:val="0"/>
        <w:ind w:left="284" w:hanging="851"/>
        <w:jc w:val="both"/>
        <w:rPr>
          <w:rFonts w:cs="Arial"/>
          <w:color w:val="000000"/>
          <w:szCs w:val="24"/>
          <w:lang w:eastAsia="en-GB"/>
        </w:rPr>
      </w:pPr>
      <w:r w:rsidRPr="002E705F">
        <w:rPr>
          <w:szCs w:val="24"/>
          <w:lang w:val="en-US"/>
        </w:rPr>
        <w:t xml:space="preserve">The performance of the Pension Fund directly affects the level of employer contribution which then, in turn, affects the resources available for the Council’s priorities. </w:t>
      </w:r>
    </w:p>
    <w:p w14:paraId="11BF41CC" w14:textId="4C94422D" w:rsidR="002A2389" w:rsidRDefault="00183CB6" w:rsidP="00912904">
      <w:pPr>
        <w:pStyle w:val="Heading2"/>
      </w:pPr>
      <w:r>
        <w:t>S</w:t>
      </w:r>
      <w:r w:rsidR="002A2389">
        <w:t>ection 3 - Statutory Officer Clearance</w:t>
      </w:r>
    </w:p>
    <w:p w14:paraId="714BE3DB" w14:textId="742B500E" w:rsidR="000A58A1" w:rsidRPr="00C817CB" w:rsidRDefault="000A58A1" w:rsidP="000A58A1">
      <w:pPr>
        <w:keepNext/>
        <w:rPr>
          <w:rFonts w:ascii="Arial Black" w:hAnsi="Arial Black" w:cs="Arial"/>
          <w:color w:val="0000FF"/>
          <w:szCs w:val="24"/>
        </w:rPr>
      </w:pPr>
    </w:p>
    <w:p w14:paraId="1F493ADE" w14:textId="1C22D940" w:rsidR="00912904" w:rsidRPr="00A66326" w:rsidRDefault="00912904" w:rsidP="00912904">
      <w:pPr>
        <w:rPr>
          <w:sz w:val="28"/>
        </w:rPr>
      </w:pPr>
      <w:r w:rsidRPr="00A66326">
        <w:rPr>
          <w:b/>
          <w:sz w:val="28"/>
        </w:rPr>
        <w:t xml:space="preserve">Statutory Officer:  </w:t>
      </w:r>
      <w:bookmarkStart w:id="2" w:name="_Hlk144884151"/>
      <w:r w:rsidR="00A22721">
        <w:rPr>
          <w:b/>
          <w:sz w:val="28"/>
        </w:rPr>
        <w:t>Sharon Daniels</w:t>
      </w:r>
      <w:bookmarkEnd w:id="2"/>
    </w:p>
    <w:p w14:paraId="57640BD9" w14:textId="3A3DF721" w:rsidR="00912904" w:rsidRPr="00A66326" w:rsidRDefault="00912904" w:rsidP="00912904">
      <w:r w:rsidRPr="00A66326">
        <w:t>Signed by the Chief Financial Officer</w:t>
      </w:r>
    </w:p>
    <w:p w14:paraId="7DF3B061" w14:textId="15E61F22" w:rsidR="009303ED" w:rsidRPr="00A66326" w:rsidRDefault="00912904" w:rsidP="009303ED">
      <w:pPr>
        <w:spacing w:after="480"/>
        <w:rPr>
          <w:sz w:val="28"/>
        </w:rPr>
      </w:pPr>
      <w:r w:rsidRPr="00A66326">
        <w:rPr>
          <w:b/>
          <w:sz w:val="28"/>
        </w:rPr>
        <w:t xml:space="preserve">Date: </w:t>
      </w:r>
      <w:r w:rsidR="003A51FE">
        <w:rPr>
          <w:b/>
          <w:sz w:val="28"/>
        </w:rPr>
        <w:t>1</w:t>
      </w:r>
      <w:r w:rsidR="006E6EE8">
        <w:rPr>
          <w:b/>
          <w:sz w:val="28"/>
        </w:rPr>
        <w:t>9</w:t>
      </w:r>
      <w:r w:rsidR="009303ED">
        <w:rPr>
          <w:b/>
          <w:sz w:val="28"/>
        </w:rPr>
        <w:t xml:space="preserve"> </w:t>
      </w:r>
      <w:r w:rsidR="008C0DF9">
        <w:rPr>
          <w:b/>
          <w:sz w:val="28"/>
        </w:rPr>
        <w:t>October</w:t>
      </w:r>
      <w:r w:rsidR="009303ED">
        <w:rPr>
          <w:b/>
          <w:sz w:val="28"/>
        </w:rPr>
        <w:t xml:space="preserve"> 2023</w:t>
      </w:r>
    </w:p>
    <w:p w14:paraId="2586CC50" w14:textId="0FFF3297" w:rsidR="00912904" w:rsidRPr="00A66326" w:rsidRDefault="00912904" w:rsidP="00912904">
      <w:pPr>
        <w:rPr>
          <w:sz w:val="28"/>
        </w:rPr>
      </w:pPr>
      <w:r w:rsidRPr="00A66326">
        <w:rPr>
          <w:b/>
          <w:sz w:val="28"/>
        </w:rPr>
        <w:t xml:space="preserve">Statutory Officer:  </w:t>
      </w:r>
      <w:r w:rsidR="00001D28">
        <w:rPr>
          <w:b/>
          <w:sz w:val="28"/>
        </w:rPr>
        <w:t>Sharon Clarke</w:t>
      </w:r>
    </w:p>
    <w:p w14:paraId="3F58D77A" w14:textId="5B53C837" w:rsidR="00912904" w:rsidRPr="00A66326" w:rsidRDefault="00912904" w:rsidP="00912904">
      <w:r w:rsidRPr="00A66326">
        <w:t>Signed on behalf of the Monitoring Officer</w:t>
      </w:r>
    </w:p>
    <w:p w14:paraId="1C88BE00" w14:textId="1EAE80F2" w:rsidR="009303ED" w:rsidRPr="00A66326" w:rsidRDefault="00912904" w:rsidP="009303ED">
      <w:pPr>
        <w:spacing w:after="480"/>
        <w:rPr>
          <w:sz w:val="28"/>
        </w:rPr>
      </w:pPr>
      <w:r w:rsidRPr="00A66326">
        <w:rPr>
          <w:b/>
          <w:sz w:val="28"/>
        </w:rPr>
        <w:t>Date:</w:t>
      </w:r>
      <w:r w:rsidR="00E23991">
        <w:rPr>
          <w:b/>
          <w:sz w:val="28"/>
        </w:rPr>
        <w:t xml:space="preserve"> </w:t>
      </w:r>
      <w:r w:rsidR="003A51FE">
        <w:rPr>
          <w:b/>
          <w:sz w:val="28"/>
        </w:rPr>
        <w:t>1</w:t>
      </w:r>
      <w:r w:rsidR="006E6EE8">
        <w:rPr>
          <w:b/>
          <w:sz w:val="28"/>
        </w:rPr>
        <w:t>6</w:t>
      </w:r>
      <w:r w:rsidR="009303ED">
        <w:rPr>
          <w:b/>
          <w:sz w:val="28"/>
        </w:rPr>
        <w:t xml:space="preserve"> </w:t>
      </w:r>
      <w:r w:rsidR="006E6EE8">
        <w:rPr>
          <w:b/>
          <w:sz w:val="28"/>
        </w:rPr>
        <w:t>Octo</w:t>
      </w:r>
      <w:r w:rsidR="00A22721">
        <w:rPr>
          <w:b/>
          <w:sz w:val="28"/>
        </w:rPr>
        <w:t>ber</w:t>
      </w:r>
      <w:r w:rsidR="009303ED">
        <w:rPr>
          <w:b/>
          <w:sz w:val="28"/>
        </w:rPr>
        <w:t xml:space="preserve"> 2023</w:t>
      </w:r>
    </w:p>
    <w:p w14:paraId="2019A53D" w14:textId="7FD52E41" w:rsidR="00912904" w:rsidRPr="00A66326" w:rsidRDefault="004A4A1D" w:rsidP="00912904">
      <w:pPr>
        <w:rPr>
          <w:sz w:val="28"/>
        </w:rPr>
      </w:pPr>
      <w:r>
        <w:rPr>
          <w:b/>
          <w:sz w:val="28"/>
        </w:rPr>
        <w:t>Chief</w:t>
      </w:r>
      <w:r w:rsidR="00912904" w:rsidRPr="00A66326">
        <w:rPr>
          <w:b/>
          <w:sz w:val="28"/>
        </w:rPr>
        <w:t xml:space="preserve"> Officer:  </w:t>
      </w:r>
      <w:r w:rsidR="00A22721">
        <w:rPr>
          <w:b/>
          <w:sz w:val="28"/>
        </w:rPr>
        <w:t>Sharon Daniels</w:t>
      </w:r>
    </w:p>
    <w:p w14:paraId="12E4D11B" w14:textId="7C324D23" w:rsidR="00912904" w:rsidRPr="00A66326" w:rsidRDefault="00365D29" w:rsidP="00912904">
      <w:r>
        <w:t>Signed</w:t>
      </w:r>
      <w:r w:rsidR="00912904" w:rsidRPr="00A66326">
        <w:t xml:space="preserve"> </w:t>
      </w:r>
      <w:r w:rsidR="00017448">
        <w:t>on behalf of</w:t>
      </w:r>
      <w:r w:rsidR="00912904" w:rsidRPr="00A66326">
        <w:t xml:space="preserve"> the </w:t>
      </w:r>
      <w:r w:rsidR="006519E8">
        <w:t>Chief Executive</w:t>
      </w:r>
    </w:p>
    <w:p w14:paraId="0B8C3BCD" w14:textId="2F4DE3C1" w:rsidR="009303ED" w:rsidRPr="00A66326" w:rsidRDefault="00912904" w:rsidP="009303ED">
      <w:pPr>
        <w:spacing w:after="480"/>
        <w:rPr>
          <w:sz w:val="28"/>
        </w:rPr>
      </w:pPr>
      <w:r w:rsidRPr="00A66326">
        <w:rPr>
          <w:b/>
          <w:sz w:val="28"/>
        </w:rPr>
        <w:t xml:space="preserve">Date:  </w:t>
      </w:r>
      <w:r w:rsidR="003A51FE">
        <w:rPr>
          <w:b/>
          <w:sz w:val="28"/>
        </w:rPr>
        <w:t>1</w:t>
      </w:r>
      <w:r w:rsidR="006E6EE8">
        <w:rPr>
          <w:b/>
          <w:sz w:val="28"/>
        </w:rPr>
        <w:t>9</w:t>
      </w:r>
      <w:r w:rsidR="009303ED">
        <w:rPr>
          <w:b/>
          <w:sz w:val="28"/>
        </w:rPr>
        <w:t xml:space="preserve"> </w:t>
      </w:r>
      <w:r w:rsidR="006E6EE8">
        <w:rPr>
          <w:b/>
          <w:sz w:val="28"/>
        </w:rPr>
        <w:t>Octo</w:t>
      </w:r>
      <w:r w:rsidR="00A22721">
        <w:rPr>
          <w:b/>
          <w:sz w:val="28"/>
        </w:rPr>
        <w:t>ber</w:t>
      </w:r>
      <w:r w:rsidR="009303ED">
        <w:rPr>
          <w:b/>
          <w:sz w:val="28"/>
        </w:rPr>
        <w:t xml:space="preserve"> 2023</w:t>
      </w:r>
    </w:p>
    <w:p w14:paraId="686CE5D8" w14:textId="77777777" w:rsidR="00912904" w:rsidRPr="00435B5D" w:rsidRDefault="00912904" w:rsidP="00912904">
      <w:pPr>
        <w:pStyle w:val="Heading2"/>
        <w:spacing w:after="240"/>
      </w:pPr>
      <w:r>
        <w:t>Mandatory Checks</w:t>
      </w:r>
    </w:p>
    <w:p w14:paraId="71FBC41D" w14:textId="07B4AF47" w:rsidR="00912904" w:rsidRPr="003313EA" w:rsidRDefault="00912904" w:rsidP="007B6C97">
      <w:pPr>
        <w:pStyle w:val="Heading3"/>
        <w:ind w:left="0" w:firstLine="0"/>
        <w:rPr>
          <w:i/>
          <w:color w:val="FF0000"/>
          <w:szCs w:val="24"/>
        </w:rPr>
      </w:pPr>
      <w:r w:rsidRPr="00E90AFF">
        <w:rPr>
          <w:sz w:val="28"/>
        </w:rPr>
        <w:t>Ward Councillors notified:  N</w:t>
      </w:r>
      <w:r w:rsidR="00017448" w:rsidRPr="00E90AFF">
        <w:rPr>
          <w:sz w:val="28"/>
        </w:rPr>
        <w:t>o</w:t>
      </w:r>
      <w:r w:rsidR="00017448">
        <w:rPr>
          <w:sz w:val="28"/>
        </w:rPr>
        <w:t>t Applicable</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60BFDA03" w14:textId="77777777" w:rsidR="00183CB6" w:rsidRDefault="00183CB6" w:rsidP="00183CB6">
      <w:pPr>
        <w:pStyle w:val="Infotext"/>
        <w:rPr>
          <w:sz w:val="24"/>
          <w:szCs w:val="24"/>
        </w:rPr>
      </w:pPr>
      <w:r w:rsidRPr="00D914D2">
        <w:rPr>
          <w:b/>
        </w:rPr>
        <w:t>Contact:</w:t>
      </w:r>
      <w:r>
        <w:t xml:space="preserve">  </w:t>
      </w:r>
      <w:r>
        <w:rPr>
          <w:sz w:val="24"/>
          <w:szCs w:val="24"/>
        </w:rPr>
        <w:t xml:space="preserve">Bola Tobun – Treasury and </w:t>
      </w:r>
      <w:r w:rsidRPr="00A175BD">
        <w:rPr>
          <w:sz w:val="24"/>
          <w:szCs w:val="24"/>
        </w:rPr>
        <w:t xml:space="preserve">Pensions </w:t>
      </w:r>
      <w:r>
        <w:rPr>
          <w:sz w:val="24"/>
          <w:szCs w:val="24"/>
        </w:rPr>
        <w:t>Manager</w:t>
      </w:r>
    </w:p>
    <w:p w14:paraId="3B1B9F4C" w14:textId="77777777" w:rsidR="00183CB6" w:rsidRDefault="00183CB6" w:rsidP="00183CB6">
      <w:pPr>
        <w:pStyle w:val="Infotext"/>
        <w:rPr>
          <w:rStyle w:val="Hyperlink"/>
          <w:sz w:val="24"/>
          <w:szCs w:val="24"/>
        </w:rPr>
      </w:pPr>
      <w:r w:rsidRPr="00A175BD">
        <w:rPr>
          <w:sz w:val="24"/>
          <w:szCs w:val="24"/>
        </w:rPr>
        <w:t xml:space="preserve">Email: </w:t>
      </w:r>
      <w:hyperlink r:id="rId11" w:history="1">
        <w:r w:rsidRPr="001564E8">
          <w:rPr>
            <w:rStyle w:val="Hyperlink"/>
            <w:sz w:val="24"/>
            <w:szCs w:val="24"/>
          </w:rPr>
          <w:t>Bola.Tobun@harrow.gov.uk</w:t>
        </w:r>
      </w:hyperlink>
    </w:p>
    <w:p w14:paraId="1C4BF2D4" w14:textId="3845235C" w:rsidR="002A2389" w:rsidRPr="008C0DF9" w:rsidRDefault="00183CB6">
      <w:pPr>
        <w:pStyle w:val="Infotext"/>
        <w:rPr>
          <w:sz w:val="24"/>
          <w:szCs w:val="24"/>
        </w:rPr>
      </w:pPr>
      <w:r w:rsidRPr="00DD6270">
        <w:rPr>
          <w:rStyle w:val="Hyperlink"/>
          <w:color w:val="auto"/>
          <w:sz w:val="24"/>
          <w:szCs w:val="24"/>
          <w:u w:val="none"/>
        </w:rPr>
        <w:t xml:space="preserve">Telephone 020 </w:t>
      </w:r>
      <w:r>
        <w:rPr>
          <w:rStyle w:val="Hyperlink"/>
          <w:color w:val="auto"/>
          <w:sz w:val="24"/>
          <w:szCs w:val="24"/>
          <w:u w:val="none"/>
        </w:rPr>
        <w:t>8420 9264</w:t>
      </w:r>
    </w:p>
    <w:p w14:paraId="28AF6FE8" w14:textId="05E6E968" w:rsidR="002A2389" w:rsidRDefault="002A2389" w:rsidP="00912904">
      <w:pPr>
        <w:pStyle w:val="Infotext"/>
        <w:spacing w:before="360"/>
      </w:pPr>
      <w:r w:rsidRPr="00D914D2">
        <w:rPr>
          <w:b/>
        </w:rPr>
        <w:t>Background Papers</w:t>
      </w:r>
      <w:r>
        <w:t xml:space="preserve">:  </w:t>
      </w:r>
      <w:r w:rsidR="007B6C97">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7BBEF" w14:textId="77777777" w:rsidR="00786832" w:rsidRDefault="00786832">
      <w:r>
        <w:separator/>
      </w:r>
    </w:p>
  </w:endnote>
  <w:endnote w:type="continuationSeparator" w:id="0">
    <w:p w14:paraId="2839BA5B" w14:textId="77777777" w:rsidR="00786832" w:rsidRDefault="0078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C9BEE" w14:textId="77777777" w:rsidR="00786832" w:rsidRDefault="00786832">
      <w:r>
        <w:separator/>
      </w:r>
    </w:p>
  </w:footnote>
  <w:footnote w:type="continuationSeparator" w:id="0">
    <w:p w14:paraId="1B78C678" w14:textId="77777777" w:rsidR="00786832" w:rsidRDefault="00786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4EB"/>
    <w:multiLevelType w:val="hybridMultilevel"/>
    <w:tmpl w:val="48229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F6A1B"/>
    <w:multiLevelType w:val="hybridMultilevel"/>
    <w:tmpl w:val="936628C0"/>
    <w:lvl w:ilvl="0" w:tplc="CFEE5684">
      <w:start w:val="5"/>
      <w:numFmt w:val="bullet"/>
      <w:lvlText w:val="-"/>
      <w:lvlJc w:val="left"/>
      <w:pPr>
        <w:ind w:left="430" w:hanging="360"/>
      </w:pPr>
      <w:rPr>
        <w:rFonts w:ascii="Arial" w:eastAsia="Times New Roman" w:hAnsi="Arial" w:cs="Arial" w:hint="default"/>
      </w:rPr>
    </w:lvl>
    <w:lvl w:ilvl="1" w:tplc="08090003">
      <w:start w:val="1"/>
      <w:numFmt w:val="bullet"/>
      <w:lvlText w:val="o"/>
      <w:lvlJc w:val="left"/>
      <w:pPr>
        <w:ind w:left="1150" w:hanging="360"/>
      </w:pPr>
      <w:rPr>
        <w:rFonts w:ascii="Courier New" w:hAnsi="Courier New" w:cs="Courier New" w:hint="default"/>
      </w:rPr>
    </w:lvl>
    <w:lvl w:ilvl="2" w:tplc="08090005">
      <w:start w:val="1"/>
      <w:numFmt w:val="bullet"/>
      <w:lvlText w:val=""/>
      <w:lvlJc w:val="left"/>
      <w:pPr>
        <w:ind w:left="1870" w:hanging="360"/>
      </w:pPr>
      <w:rPr>
        <w:rFonts w:ascii="Wingdings" w:hAnsi="Wingdings" w:hint="default"/>
      </w:rPr>
    </w:lvl>
    <w:lvl w:ilvl="3" w:tplc="08090001">
      <w:start w:val="1"/>
      <w:numFmt w:val="bullet"/>
      <w:lvlText w:val=""/>
      <w:lvlJc w:val="left"/>
      <w:pPr>
        <w:ind w:left="2590" w:hanging="360"/>
      </w:pPr>
      <w:rPr>
        <w:rFonts w:ascii="Symbol" w:hAnsi="Symbol" w:hint="default"/>
      </w:rPr>
    </w:lvl>
    <w:lvl w:ilvl="4" w:tplc="08090003">
      <w:start w:val="1"/>
      <w:numFmt w:val="bullet"/>
      <w:lvlText w:val="o"/>
      <w:lvlJc w:val="left"/>
      <w:pPr>
        <w:ind w:left="3310" w:hanging="360"/>
      </w:pPr>
      <w:rPr>
        <w:rFonts w:ascii="Courier New" w:hAnsi="Courier New" w:cs="Courier New" w:hint="default"/>
      </w:rPr>
    </w:lvl>
    <w:lvl w:ilvl="5" w:tplc="08090005">
      <w:start w:val="1"/>
      <w:numFmt w:val="bullet"/>
      <w:lvlText w:val=""/>
      <w:lvlJc w:val="left"/>
      <w:pPr>
        <w:ind w:left="4030" w:hanging="360"/>
      </w:pPr>
      <w:rPr>
        <w:rFonts w:ascii="Wingdings" w:hAnsi="Wingdings" w:hint="default"/>
      </w:rPr>
    </w:lvl>
    <w:lvl w:ilvl="6" w:tplc="08090001">
      <w:start w:val="1"/>
      <w:numFmt w:val="bullet"/>
      <w:lvlText w:val=""/>
      <w:lvlJc w:val="left"/>
      <w:pPr>
        <w:ind w:left="4750" w:hanging="360"/>
      </w:pPr>
      <w:rPr>
        <w:rFonts w:ascii="Symbol" w:hAnsi="Symbol" w:hint="default"/>
      </w:rPr>
    </w:lvl>
    <w:lvl w:ilvl="7" w:tplc="08090003">
      <w:start w:val="1"/>
      <w:numFmt w:val="bullet"/>
      <w:lvlText w:val="o"/>
      <w:lvlJc w:val="left"/>
      <w:pPr>
        <w:ind w:left="5470" w:hanging="360"/>
      </w:pPr>
      <w:rPr>
        <w:rFonts w:ascii="Courier New" w:hAnsi="Courier New" w:cs="Courier New" w:hint="default"/>
      </w:rPr>
    </w:lvl>
    <w:lvl w:ilvl="8" w:tplc="08090005">
      <w:start w:val="1"/>
      <w:numFmt w:val="bullet"/>
      <w:lvlText w:val=""/>
      <w:lvlJc w:val="left"/>
      <w:pPr>
        <w:ind w:left="6190" w:hanging="360"/>
      </w:pPr>
      <w:rPr>
        <w:rFonts w:ascii="Wingdings" w:hAnsi="Wingdings" w:hint="default"/>
      </w:rPr>
    </w:lvl>
  </w:abstractNum>
  <w:abstractNum w:abstractNumId="4" w15:restartNumberingAfterBreak="0">
    <w:nsid w:val="07CB23B9"/>
    <w:multiLevelType w:val="hybridMultilevel"/>
    <w:tmpl w:val="74F67512"/>
    <w:lvl w:ilvl="0" w:tplc="C2C45606">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949585F"/>
    <w:multiLevelType w:val="hybridMultilevel"/>
    <w:tmpl w:val="1F3C8D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B736D"/>
    <w:multiLevelType w:val="hybridMultilevel"/>
    <w:tmpl w:val="DD7450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0DFD5EBE"/>
    <w:multiLevelType w:val="hybridMultilevel"/>
    <w:tmpl w:val="F76442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0F5C6196"/>
    <w:multiLevelType w:val="hybridMultilevel"/>
    <w:tmpl w:val="FC0846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AC6ABC"/>
    <w:multiLevelType w:val="hybridMultilevel"/>
    <w:tmpl w:val="0DB64E50"/>
    <w:lvl w:ilvl="0" w:tplc="AE7086E8">
      <w:start w:val="1"/>
      <w:numFmt w:val="decimal"/>
      <w:lvlText w:val="%1."/>
      <w:lvlJc w:val="left"/>
      <w:pPr>
        <w:tabs>
          <w:tab w:val="num" w:pos="584"/>
        </w:tabs>
        <w:ind w:left="584" w:hanging="397"/>
      </w:pPr>
      <w:rPr>
        <w:rFonts w:hint="default"/>
        <w:color w:val="auto"/>
      </w:rPr>
    </w:lvl>
    <w:lvl w:ilvl="1" w:tplc="DE18D8F4">
      <w:start w:val="1"/>
      <w:numFmt w:val="lowerLetter"/>
      <w:lvlText w:val="%2."/>
      <w:lvlJc w:val="left"/>
      <w:pPr>
        <w:ind w:left="1733" w:hanging="65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D25EED"/>
    <w:multiLevelType w:val="hybridMultilevel"/>
    <w:tmpl w:val="CD20C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283FF4"/>
    <w:multiLevelType w:val="hybridMultilevel"/>
    <w:tmpl w:val="6C9AF2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D552C4"/>
    <w:multiLevelType w:val="hybridMultilevel"/>
    <w:tmpl w:val="C682FA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1E3D4B2A"/>
    <w:multiLevelType w:val="hybridMultilevel"/>
    <w:tmpl w:val="FA2C0148"/>
    <w:lvl w:ilvl="0" w:tplc="1F8CA7A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22DD3C49"/>
    <w:multiLevelType w:val="hybridMultilevel"/>
    <w:tmpl w:val="1B5630D6"/>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2611059D"/>
    <w:multiLevelType w:val="multilevel"/>
    <w:tmpl w:val="F1980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8FC09D9"/>
    <w:multiLevelType w:val="hybridMultilevel"/>
    <w:tmpl w:val="F54857BA"/>
    <w:lvl w:ilvl="0" w:tplc="49A6D8F0">
      <w:start w:val="1"/>
      <w:numFmt w:val="lowerRoman"/>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FC54C0"/>
    <w:multiLevelType w:val="hybridMultilevel"/>
    <w:tmpl w:val="D8DE4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16D6988"/>
    <w:multiLevelType w:val="hybridMultilevel"/>
    <w:tmpl w:val="C86099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74764E3"/>
    <w:multiLevelType w:val="hybridMultilevel"/>
    <w:tmpl w:val="BBD69FA2"/>
    <w:lvl w:ilvl="0" w:tplc="49A6D8F0">
      <w:start w:val="1"/>
      <w:numFmt w:val="lowerRoman"/>
      <w:lvlText w:val="%1)"/>
      <w:lvlJc w:val="left"/>
      <w:pPr>
        <w:tabs>
          <w:tab w:val="num" w:pos="681"/>
        </w:tabs>
        <w:ind w:left="681" w:hanging="397"/>
      </w:pPr>
      <w:rPr>
        <w:rFonts w:hint="default"/>
        <w:color w:val="auto"/>
      </w:rPr>
    </w:lvl>
    <w:lvl w:ilvl="1" w:tplc="FFFFFFFF" w:tentative="1">
      <w:start w:val="1"/>
      <w:numFmt w:val="lowerLetter"/>
      <w:lvlText w:val="%2."/>
      <w:lvlJc w:val="left"/>
      <w:pPr>
        <w:tabs>
          <w:tab w:val="num" w:pos="1537"/>
        </w:tabs>
        <w:ind w:left="1537" w:hanging="360"/>
      </w:pPr>
    </w:lvl>
    <w:lvl w:ilvl="2" w:tplc="FFFFFFFF" w:tentative="1">
      <w:start w:val="1"/>
      <w:numFmt w:val="lowerRoman"/>
      <w:lvlText w:val="%3."/>
      <w:lvlJc w:val="right"/>
      <w:pPr>
        <w:tabs>
          <w:tab w:val="num" w:pos="2257"/>
        </w:tabs>
        <w:ind w:left="2257" w:hanging="180"/>
      </w:pPr>
    </w:lvl>
    <w:lvl w:ilvl="3" w:tplc="FFFFFFFF" w:tentative="1">
      <w:start w:val="1"/>
      <w:numFmt w:val="decimal"/>
      <w:lvlText w:val="%4."/>
      <w:lvlJc w:val="left"/>
      <w:pPr>
        <w:tabs>
          <w:tab w:val="num" w:pos="2977"/>
        </w:tabs>
        <w:ind w:left="2977" w:hanging="360"/>
      </w:pPr>
    </w:lvl>
    <w:lvl w:ilvl="4" w:tplc="FFFFFFFF" w:tentative="1">
      <w:start w:val="1"/>
      <w:numFmt w:val="lowerLetter"/>
      <w:lvlText w:val="%5."/>
      <w:lvlJc w:val="left"/>
      <w:pPr>
        <w:tabs>
          <w:tab w:val="num" w:pos="3697"/>
        </w:tabs>
        <w:ind w:left="3697" w:hanging="360"/>
      </w:pPr>
    </w:lvl>
    <w:lvl w:ilvl="5" w:tplc="FFFFFFFF" w:tentative="1">
      <w:start w:val="1"/>
      <w:numFmt w:val="lowerRoman"/>
      <w:lvlText w:val="%6."/>
      <w:lvlJc w:val="right"/>
      <w:pPr>
        <w:tabs>
          <w:tab w:val="num" w:pos="4417"/>
        </w:tabs>
        <w:ind w:left="4417" w:hanging="180"/>
      </w:pPr>
    </w:lvl>
    <w:lvl w:ilvl="6" w:tplc="FFFFFFFF" w:tentative="1">
      <w:start w:val="1"/>
      <w:numFmt w:val="decimal"/>
      <w:lvlText w:val="%7."/>
      <w:lvlJc w:val="left"/>
      <w:pPr>
        <w:tabs>
          <w:tab w:val="num" w:pos="5137"/>
        </w:tabs>
        <w:ind w:left="5137" w:hanging="360"/>
      </w:pPr>
    </w:lvl>
    <w:lvl w:ilvl="7" w:tplc="FFFFFFFF" w:tentative="1">
      <w:start w:val="1"/>
      <w:numFmt w:val="lowerLetter"/>
      <w:lvlText w:val="%8."/>
      <w:lvlJc w:val="left"/>
      <w:pPr>
        <w:tabs>
          <w:tab w:val="num" w:pos="5857"/>
        </w:tabs>
        <w:ind w:left="5857" w:hanging="360"/>
      </w:pPr>
    </w:lvl>
    <w:lvl w:ilvl="8" w:tplc="FFFFFFFF" w:tentative="1">
      <w:start w:val="1"/>
      <w:numFmt w:val="lowerRoman"/>
      <w:lvlText w:val="%9."/>
      <w:lvlJc w:val="right"/>
      <w:pPr>
        <w:tabs>
          <w:tab w:val="num" w:pos="6577"/>
        </w:tabs>
        <w:ind w:left="6577" w:hanging="180"/>
      </w:pPr>
    </w:lvl>
  </w:abstractNum>
  <w:abstractNum w:abstractNumId="26" w15:restartNumberingAfterBreak="0">
    <w:nsid w:val="38332F8E"/>
    <w:multiLevelType w:val="hybridMultilevel"/>
    <w:tmpl w:val="45A09B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3D0A6868"/>
    <w:multiLevelType w:val="hybridMultilevel"/>
    <w:tmpl w:val="559CB3CE"/>
    <w:lvl w:ilvl="0" w:tplc="42CE49A4">
      <w:start w:val="1"/>
      <w:numFmt w:val="lowerRoman"/>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9"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1AB7EB3"/>
    <w:multiLevelType w:val="hybridMultilevel"/>
    <w:tmpl w:val="BE36B83A"/>
    <w:lvl w:ilvl="0" w:tplc="0809001B">
      <w:start w:val="1"/>
      <w:numFmt w:val="lowerRoman"/>
      <w:lvlText w:val="%1."/>
      <w:lvlJc w:val="right"/>
      <w:pPr>
        <w:ind w:left="944" w:hanging="360"/>
      </w:p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3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0241A8"/>
    <w:multiLevelType w:val="hybridMultilevel"/>
    <w:tmpl w:val="27C06E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C9B1792"/>
    <w:multiLevelType w:val="hybridMultilevel"/>
    <w:tmpl w:val="DF765422"/>
    <w:lvl w:ilvl="0" w:tplc="4D0078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F7916E5"/>
    <w:multiLevelType w:val="hybridMultilevel"/>
    <w:tmpl w:val="15B4D9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507E2874"/>
    <w:multiLevelType w:val="hybridMultilevel"/>
    <w:tmpl w:val="4C4695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51DD43D7"/>
    <w:multiLevelType w:val="hybridMultilevel"/>
    <w:tmpl w:val="7DA4A032"/>
    <w:lvl w:ilvl="0" w:tplc="42CE49A4">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53577A64"/>
    <w:multiLevelType w:val="hybridMultilevel"/>
    <w:tmpl w:val="E9700216"/>
    <w:lvl w:ilvl="0" w:tplc="15CA3628">
      <w:start w:val="15"/>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39" w15:restartNumberingAfterBreak="0">
    <w:nsid w:val="54CA1C4B"/>
    <w:multiLevelType w:val="hybridMultilevel"/>
    <w:tmpl w:val="45540E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EB079B"/>
    <w:multiLevelType w:val="hybridMultilevel"/>
    <w:tmpl w:val="8E4A0F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6"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4165995">
    <w:abstractNumId w:val="43"/>
  </w:num>
  <w:num w:numId="2" w16cid:durableId="1921325640">
    <w:abstractNumId w:val="32"/>
  </w:num>
  <w:num w:numId="3" w16cid:durableId="1356693287">
    <w:abstractNumId w:val="42"/>
  </w:num>
  <w:num w:numId="4" w16cid:durableId="1348369598">
    <w:abstractNumId w:val="2"/>
  </w:num>
  <w:num w:numId="5" w16cid:durableId="201996485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5524191">
    <w:abstractNumId w:val="23"/>
  </w:num>
  <w:num w:numId="7" w16cid:durableId="1386833695">
    <w:abstractNumId w:val="28"/>
  </w:num>
  <w:num w:numId="8" w16cid:durableId="1541354287">
    <w:abstractNumId w:val="14"/>
  </w:num>
  <w:num w:numId="9" w16cid:durableId="98378139">
    <w:abstractNumId w:val="10"/>
  </w:num>
  <w:num w:numId="10" w16cid:durableId="896091699">
    <w:abstractNumId w:val="41"/>
  </w:num>
  <w:num w:numId="11" w16cid:durableId="792402225">
    <w:abstractNumId w:val="46"/>
  </w:num>
  <w:num w:numId="12" w16cid:durableId="67307889">
    <w:abstractNumId w:val="40"/>
  </w:num>
  <w:num w:numId="13" w16cid:durableId="1962762317">
    <w:abstractNumId w:val="6"/>
  </w:num>
  <w:num w:numId="14" w16cid:durableId="697201420">
    <w:abstractNumId w:val="20"/>
  </w:num>
  <w:num w:numId="15" w16cid:durableId="1810512730">
    <w:abstractNumId w:val="31"/>
  </w:num>
  <w:num w:numId="16" w16cid:durableId="1373574059">
    <w:abstractNumId w:val="12"/>
  </w:num>
  <w:num w:numId="17" w16cid:durableId="540554566">
    <w:abstractNumId w:val="45"/>
  </w:num>
  <w:num w:numId="18" w16cid:durableId="1923373673">
    <w:abstractNumId w:val="44"/>
  </w:num>
  <w:num w:numId="19" w16cid:durableId="255794258">
    <w:abstractNumId w:val="34"/>
  </w:num>
  <w:num w:numId="20" w16cid:durableId="1468162388">
    <w:abstractNumId w:val="1"/>
  </w:num>
  <w:num w:numId="21" w16cid:durableId="421923255">
    <w:abstractNumId w:val="8"/>
  </w:num>
  <w:num w:numId="22" w16cid:durableId="928730588">
    <w:abstractNumId w:val="39"/>
  </w:num>
  <w:num w:numId="23" w16cid:durableId="599681206">
    <w:abstractNumId w:val="15"/>
  </w:num>
  <w:num w:numId="24" w16cid:durableId="1677926623">
    <w:abstractNumId w:val="7"/>
  </w:num>
  <w:num w:numId="25" w16cid:durableId="639723455">
    <w:abstractNumId w:val="13"/>
  </w:num>
  <w:num w:numId="26" w16cid:durableId="126826156">
    <w:abstractNumId w:val="38"/>
  </w:num>
  <w:num w:numId="27" w16cid:durableId="1735271561">
    <w:abstractNumId w:val="9"/>
  </w:num>
  <w:num w:numId="28" w16cid:durableId="944505646">
    <w:abstractNumId w:val="26"/>
  </w:num>
  <w:num w:numId="29" w16cid:durableId="1839156675">
    <w:abstractNumId w:val="11"/>
  </w:num>
  <w:num w:numId="30" w16cid:durableId="1395205232">
    <w:abstractNumId w:val="30"/>
  </w:num>
  <w:num w:numId="31" w16cid:durableId="1902985239">
    <w:abstractNumId w:val="22"/>
  </w:num>
  <w:num w:numId="32" w16cid:durableId="871113823">
    <w:abstractNumId w:val="33"/>
  </w:num>
  <w:num w:numId="33" w16cid:durableId="534121542">
    <w:abstractNumId w:val="36"/>
  </w:num>
  <w:num w:numId="34" w16cid:durableId="807166312">
    <w:abstractNumId w:val="29"/>
  </w:num>
  <w:num w:numId="35" w16cid:durableId="543450785">
    <w:abstractNumId w:val="24"/>
  </w:num>
  <w:num w:numId="36" w16cid:durableId="349837640">
    <w:abstractNumId w:val="5"/>
  </w:num>
  <w:num w:numId="37" w16cid:durableId="265700381">
    <w:abstractNumId w:val="35"/>
  </w:num>
  <w:num w:numId="38" w16cid:durableId="3259410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1766957">
    <w:abstractNumId w:val="17"/>
  </w:num>
  <w:num w:numId="40" w16cid:durableId="530610452">
    <w:abstractNumId w:val="11"/>
  </w:num>
  <w:num w:numId="41" w16cid:durableId="141772850">
    <w:abstractNumId w:val="21"/>
  </w:num>
  <w:num w:numId="42" w16cid:durableId="265966925">
    <w:abstractNumId w:val="3"/>
  </w:num>
  <w:num w:numId="43" w16cid:durableId="1599214777">
    <w:abstractNumId w:val="37"/>
  </w:num>
  <w:num w:numId="44" w16cid:durableId="519205911">
    <w:abstractNumId w:val="4"/>
  </w:num>
  <w:num w:numId="45" w16cid:durableId="1422949198">
    <w:abstractNumId w:val="27"/>
  </w:num>
  <w:num w:numId="46" w16cid:durableId="1890533069">
    <w:abstractNumId w:val="16"/>
  </w:num>
  <w:num w:numId="47" w16cid:durableId="122432397">
    <w:abstractNumId w:val="0"/>
  </w:num>
  <w:num w:numId="48" w16cid:durableId="516044545">
    <w:abstractNumId w:val="25"/>
  </w:num>
  <w:num w:numId="49" w16cid:durableId="282536055">
    <w:abstractNumId w:val="19"/>
  </w:num>
  <w:num w:numId="50" w16cid:durableId="6083225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1D28"/>
    <w:rsid w:val="00007359"/>
    <w:rsid w:val="000148C5"/>
    <w:rsid w:val="00017448"/>
    <w:rsid w:val="00023F4C"/>
    <w:rsid w:val="000526EB"/>
    <w:rsid w:val="00057F10"/>
    <w:rsid w:val="00061BEF"/>
    <w:rsid w:val="000633A2"/>
    <w:rsid w:val="000672B2"/>
    <w:rsid w:val="00071EB4"/>
    <w:rsid w:val="00074CA8"/>
    <w:rsid w:val="00077298"/>
    <w:rsid w:val="00095463"/>
    <w:rsid w:val="00095E9F"/>
    <w:rsid w:val="000A0114"/>
    <w:rsid w:val="000A58A1"/>
    <w:rsid w:val="000A6659"/>
    <w:rsid w:val="000B0E6F"/>
    <w:rsid w:val="000B6DBB"/>
    <w:rsid w:val="000D0D4B"/>
    <w:rsid w:val="000D1159"/>
    <w:rsid w:val="000D2BF2"/>
    <w:rsid w:val="000D5870"/>
    <w:rsid w:val="000E1DF6"/>
    <w:rsid w:val="000F65C0"/>
    <w:rsid w:val="00131AED"/>
    <w:rsid w:val="00135B2B"/>
    <w:rsid w:val="001429F9"/>
    <w:rsid w:val="00143EFA"/>
    <w:rsid w:val="00164428"/>
    <w:rsid w:val="00164E26"/>
    <w:rsid w:val="001744D1"/>
    <w:rsid w:val="00183CB6"/>
    <w:rsid w:val="00192DF2"/>
    <w:rsid w:val="001939BA"/>
    <w:rsid w:val="001A319C"/>
    <w:rsid w:val="001A63E1"/>
    <w:rsid w:val="001A6EB0"/>
    <w:rsid w:val="001A7DB6"/>
    <w:rsid w:val="001B1A2E"/>
    <w:rsid w:val="001B441D"/>
    <w:rsid w:val="001C3C15"/>
    <w:rsid w:val="001C5225"/>
    <w:rsid w:val="001C5A26"/>
    <w:rsid w:val="001C7067"/>
    <w:rsid w:val="001C7629"/>
    <w:rsid w:val="001E0219"/>
    <w:rsid w:val="001E752F"/>
    <w:rsid w:val="001F6359"/>
    <w:rsid w:val="00201A56"/>
    <w:rsid w:val="002025B3"/>
    <w:rsid w:val="002078C0"/>
    <w:rsid w:val="00213BE7"/>
    <w:rsid w:val="00214C40"/>
    <w:rsid w:val="00231A1D"/>
    <w:rsid w:val="00244120"/>
    <w:rsid w:val="0024584C"/>
    <w:rsid w:val="00282DAB"/>
    <w:rsid w:val="00286484"/>
    <w:rsid w:val="0029126E"/>
    <w:rsid w:val="00293F9F"/>
    <w:rsid w:val="002A2389"/>
    <w:rsid w:val="002C08E2"/>
    <w:rsid w:val="002C1794"/>
    <w:rsid w:val="002C2EDC"/>
    <w:rsid w:val="002C42D7"/>
    <w:rsid w:val="002D2FC5"/>
    <w:rsid w:val="002E6637"/>
    <w:rsid w:val="002E77E3"/>
    <w:rsid w:val="00300B52"/>
    <w:rsid w:val="00324778"/>
    <w:rsid w:val="00332947"/>
    <w:rsid w:val="00333EB4"/>
    <w:rsid w:val="00340BE8"/>
    <w:rsid w:val="003453FF"/>
    <w:rsid w:val="00345915"/>
    <w:rsid w:val="00346244"/>
    <w:rsid w:val="003500A1"/>
    <w:rsid w:val="00351F6B"/>
    <w:rsid w:val="00365D29"/>
    <w:rsid w:val="00374F22"/>
    <w:rsid w:val="003A51FE"/>
    <w:rsid w:val="003D2FFE"/>
    <w:rsid w:val="003D5F0A"/>
    <w:rsid w:val="003E70EC"/>
    <w:rsid w:val="003F0B3C"/>
    <w:rsid w:val="003F385A"/>
    <w:rsid w:val="003F5AF9"/>
    <w:rsid w:val="00400032"/>
    <w:rsid w:val="00414C40"/>
    <w:rsid w:val="0042394B"/>
    <w:rsid w:val="0044467B"/>
    <w:rsid w:val="0045301E"/>
    <w:rsid w:val="0045365E"/>
    <w:rsid w:val="004540B8"/>
    <w:rsid w:val="004552F7"/>
    <w:rsid w:val="00473B08"/>
    <w:rsid w:val="00474B5F"/>
    <w:rsid w:val="00480F0B"/>
    <w:rsid w:val="004A3CE6"/>
    <w:rsid w:val="004A4A1D"/>
    <w:rsid w:val="004B2C9D"/>
    <w:rsid w:val="004B4A47"/>
    <w:rsid w:val="004C1AEC"/>
    <w:rsid w:val="004E3FBD"/>
    <w:rsid w:val="004E667D"/>
    <w:rsid w:val="004E6857"/>
    <w:rsid w:val="004E6AF9"/>
    <w:rsid w:val="004F6C28"/>
    <w:rsid w:val="004F6DD8"/>
    <w:rsid w:val="00502F94"/>
    <w:rsid w:val="005031DF"/>
    <w:rsid w:val="0050363C"/>
    <w:rsid w:val="00506391"/>
    <w:rsid w:val="00517A3F"/>
    <w:rsid w:val="0053037D"/>
    <w:rsid w:val="00533720"/>
    <w:rsid w:val="005372C0"/>
    <w:rsid w:val="005608EF"/>
    <w:rsid w:val="00561EC5"/>
    <w:rsid w:val="00571F48"/>
    <w:rsid w:val="005821C4"/>
    <w:rsid w:val="00597314"/>
    <w:rsid w:val="005A61AF"/>
    <w:rsid w:val="005B1C57"/>
    <w:rsid w:val="005D0886"/>
    <w:rsid w:val="005D0D93"/>
    <w:rsid w:val="005D43D1"/>
    <w:rsid w:val="005E384D"/>
    <w:rsid w:val="005F2181"/>
    <w:rsid w:val="005F724B"/>
    <w:rsid w:val="00603EC9"/>
    <w:rsid w:val="00606705"/>
    <w:rsid w:val="0061409C"/>
    <w:rsid w:val="00625DFF"/>
    <w:rsid w:val="0063072B"/>
    <w:rsid w:val="006519E8"/>
    <w:rsid w:val="00662891"/>
    <w:rsid w:val="006628B7"/>
    <w:rsid w:val="00675FCB"/>
    <w:rsid w:val="00690F76"/>
    <w:rsid w:val="00696012"/>
    <w:rsid w:val="006A0B87"/>
    <w:rsid w:val="006A6A85"/>
    <w:rsid w:val="006B3942"/>
    <w:rsid w:val="006C1B8B"/>
    <w:rsid w:val="006C3914"/>
    <w:rsid w:val="006C4D4C"/>
    <w:rsid w:val="006D0E7A"/>
    <w:rsid w:val="006D3648"/>
    <w:rsid w:val="006D754A"/>
    <w:rsid w:val="006E38C6"/>
    <w:rsid w:val="006E40AD"/>
    <w:rsid w:val="006E5A21"/>
    <w:rsid w:val="006E6EE8"/>
    <w:rsid w:val="00716046"/>
    <w:rsid w:val="00717E8A"/>
    <w:rsid w:val="00733008"/>
    <w:rsid w:val="0074184E"/>
    <w:rsid w:val="00743829"/>
    <w:rsid w:val="00751C86"/>
    <w:rsid w:val="00755881"/>
    <w:rsid w:val="00755F8D"/>
    <w:rsid w:val="00784A42"/>
    <w:rsid w:val="007855AE"/>
    <w:rsid w:val="00786832"/>
    <w:rsid w:val="00796503"/>
    <w:rsid w:val="0079669A"/>
    <w:rsid w:val="007A37A4"/>
    <w:rsid w:val="007A42EC"/>
    <w:rsid w:val="007B0CB6"/>
    <w:rsid w:val="007B1BBB"/>
    <w:rsid w:val="007B6C97"/>
    <w:rsid w:val="007D2BDA"/>
    <w:rsid w:val="007D56C8"/>
    <w:rsid w:val="007E3934"/>
    <w:rsid w:val="007E430C"/>
    <w:rsid w:val="007E7303"/>
    <w:rsid w:val="007E7AA4"/>
    <w:rsid w:val="00804C61"/>
    <w:rsid w:val="00817E0F"/>
    <w:rsid w:val="008212A0"/>
    <w:rsid w:val="0082172F"/>
    <w:rsid w:val="00827F49"/>
    <w:rsid w:val="00837F53"/>
    <w:rsid w:val="00837FA7"/>
    <w:rsid w:val="00846323"/>
    <w:rsid w:val="00855316"/>
    <w:rsid w:val="00857085"/>
    <w:rsid w:val="0086270A"/>
    <w:rsid w:val="00862DDC"/>
    <w:rsid w:val="00882D18"/>
    <w:rsid w:val="0088617A"/>
    <w:rsid w:val="00887BE6"/>
    <w:rsid w:val="008A19F1"/>
    <w:rsid w:val="008C0DF9"/>
    <w:rsid w:val="008D1750"/>
    <w:rsid w:val="008D7800"/>
    <w:rsid w:val="008E0CFC"/>
    <w:rsid w:val="008E2910"/>
    <w:rsid w:val="008E4913"/>
    <w:rsid w:val="008F690E"/>
    <w:rsid w:val="00900464"/>
    <w:rsid w:val="0090100E"/>
    <w:rsid w:val="00912904"/>
    <w:rsid w:val="00921889"/>
    <w:rsid w:val="00925584"/>
    <w:rsid w:val="009303ED"/>
    <w:rsid w:val="0093767E"/>
    <w:rsid w:val="00960AE2"/>
    <w:rsid w:val="00972A02"/>
    <w:rsid w:val="0099517C"/>
    <w:rsid w:val="009A0937"/>
    <w:rsid w:val="009B2ECD"/>
    <w:rsid w:val="009B7914"/>
    <w:rsid w:val="009D17DE"/>
    <w:rsid w:val="009F430B"/>
    <w:rsid w:val="00A160B2"/>
    <w:rsid w:val="00A16271"/>
    <w:rsid w:val="00A22721"/>
    <w:rsid w:val="00A23254"/>
    <w:rsid w:val="00A45751"/>
    <w:rsid w:val="00A566E7"/>
    <w:rsid w:val="00A630BF"/>
    <w:rsid w:val="00A72DC9"/>
    <w:rsid w:val="00A73B25"/>
    <w:rsid w:val="00A77232"/>
    <w:rsid w:val="00A940D3"/>
    <w:rsid w:val="00A96FCA"/>
    <w:rsid w:val="00AA3C21"/>
    <w:rsid w:val="00AA4452"/>
    <w:rsid w:val="00AA4BE8"/>
    <w:rsid w:val="00AB7E48"/>
    <w:rsid w:val="00AC01E2"/>
    <w:rsid w:val="00AC0AAB"/>
    <w:rsid w:val="00AC5593"/>
    <w:rsid w:val="00AC7BA9"/>
    <w:rsid w:val="00AD70FE"/>
    <w:rsid w:val="00AE776B"/>
    <w:rsid w:val="00B0421D"/>
    <w:rsid w:val="00B0425E"/>
    <w:rsid w:val="00B161A9"/>
    <w:rsid w:val="00B21EEA"/>
    <w:rsid w:val="00B47A22"/>
    <w:rsid w:val="00B562B1"/>
    <w:rsid w:val="00B87E80"/>
    <w:rsid w:val="00B900E2"/>
    <w:rsid w:val="00B902AE"/>
    <w:rsid w:val="00B9118E"/>
    <w:rsid w:val="00B93DE8"/>
    <w:rsid w:val="00BC7689"/>
    <w:rsid w:val="00BD5C17"/>
    <w:rsid w:val="00BD6115"/>
    <w:rsid w:val="00BD684A"/>
    <w:rsid w:val="00C00A47"/>
    <w:rsid w:val="00C13B81"/>
    <w:rsid w:val="00C20FA2"/>
    <w:rsid w:val="00C2411E"/>
    <w:rsid w:val="00C24A81"/>
    <w:rsid w:val="00C32DAE"/>
    <w:rsid w:val="00C362B9"/>
    <w:rsid w:val="00C40E24"/>
    <w:rsid w:val="00C44D5D"/>
    <w:rsid w:val="00C61B80"/>
    <w:rsid w:val="00C64697"/>
    <w:rsid w:val="00C92D9A"/>
    <w:rsid w:val="00C96EF5"/>
    <w:rsid w:val="00CC2663"/>
    <w:rsid w:val="00CD41F1"/>
    <w:rsid w:val="00CE1D3C"/>
    <w:rsid w:val="00CE357B"/>
    <w:rsid w:val="00CE4CCF"/>
    <w:rsid w:val="00CE6980"/>
    <w:rsid w:val="00CF0F17"/>
    <w:rsid w:val="00CF1560"/>
    <w:rsid w:val="00CF5370"/>
    <w:rsid w:val="00D03EA3"/>
    <w:rsid w:val="00D24092"/>
    <w:rsid w:val="00D25064"/>
    <w:rsid w:val="00D32B51"/>
    <w:rsid w:val="00D34668"/>
    <w:rsid w:val="00D3740E"/>
    <w:rsid w:val="00D40335"/>
    <w:rsid w:val="00D405F6"/>
    <w:rsid w:val="00D419E6"/>
    <w:rsid w:val="00D56D80"/>
    <w:rsid w:val="00D82F57"/>
    <w:rsid w:val="00D841A5"/>
    <w:rsid w:val="00D84240"/>
    <w:rsid w:val="00D914D2"/>
    <w:rsid w:val="00D91E89"/>
    <w:rsid w:val="00DA25DB"/>
    <w:rsid w:val="00DB0791"/>
    <w:rsid w:val="00DC2C04"/>
    <w:rsid w:val="00DC5D82"/>
    <w:rsid w:val="00DC7B96"/>
    <w:rsid w:val="00DD4251"/>
    <w:rsid w:val="00DF30E7"/>
    <w:rsid w:val="00E02B50"/>
    <w:rsid w:val="00E03F11"/>
    <w:rsid w:val="00E06DC8"/>
    <w:rsid w:val="00E1468F"/>
    <w:rsid w:val="00E220B5"/>
    <w:rsid w:val="00E23991"/>
    <w:rsid w:val="00E27748"/>
    <w:rsid w:val="00E32F3A"/>
    <w:rsid w:val="00E33D93"/>
    <w:rsid w:val="00E53623"/>
    <w:rsid w:val="00E54E13"/>
    <w:rsid w:val="00E609EF"/>
    <w:rsid w:val="00E6612A"/>
    <w:rsid w:val="00E72D2A"/>
    <w:rsid w:val="00E8515B"/>
    <w:rsid w:val="00E90AFF"/>
    <w:rsid w:val="00E94032"/>
    <w:rsid w:val="00EA3534"/>
    <w:rsid w:val="00EC70CD"/>
    <w:rsid w:val="00EC7962"/>
    <w:rsid w:val="00ED48C9"/>
    <w:rsid w:val="00EF2F91"/>
    <w:rsid w:val="00F22AFB"/>
    <w:rsid w:val="00F23DA0"/>
    <w:rsid w:val="00F33EE3"/>
    <w:rsid w:val="00F4213B"/>
    <w:rsid w:val="00F65E9D"/>
    <w:rsid w:val="00F7686B"/>
    <w:rsid w:val="00F806B8"/>
    <w:rsid w:val="00F849ED"/>
    <w:rsid w:val="00F92398"/>
    <w:rsid w:val="00FC0D9D"/>
    <w:rsid w:val="00FC3F6A"/>
    <w:rsid w:val="00FD31A0"/>
    <w:rsid w:val="00FD5078"/>
    <w:rsid w:val="00FD6547"/>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5ED5E"/>
  <w15:docId w15:val="{3F88F4F6-9EFD-4343-84AC-797910D8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Default">
    <w:name w:val="Default"/>
    <w:rsid w:val="001C7629"/>
    <w:pPr>
      <w:autoSpaceDE w:val="0"/>
      <w:autoSpaceDN w:val="0"/>
      <w:adjustRightInd w:val="0"/>
    </w:pPr>
    <w:rPr>
      <w:rFonts w:ascii="Arial" w:hAnsi="Arial" w:cs="Arial"/>
      <w:color w:val="000000"/>
      <w:sz w:val="24"/>
      <w:szCs w:val="24"/>
    </w:rPr>
  </w:style>
  <w:style w:type="table" w:styleId="TableGrid">
    <w:name w:val="Table Grid"/>
    <w:basedOn w:val="TableNormal"/>
    <w:rsid w:val="00ED4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744D1"/>
    <w:rPr>
      <w:rFonts w:ascii="Calibri" w:eastAsiaTheme="minorHAnsi" w:hAnsi="Calibri" w:cs="Calibri"/>
      <w:sz w:val="22"/>
      <w:szCs w:val="22"/>
    </w:rPr>
  </w:style>
  <w:style w:type="character" w:styleId="CommentReference">
    <w:name w:val="annotation reference"/>
    <w:basedOn w:val="DefaultParagraphFont"/>
    <w:semiHidden/>
    <w:unhideWhenUsed/>
    <w:rsid w:val="005608EF"/>
    <w:rPr>
      <w:sz w:val="16"/>
      <w:szCs w:val="16"/>
    </w:rPr>
  </w:style>
  <w:style w:type="paragraph" w:styleId="CommentText">
    <w:name w:val="annotation text"/>
    <w:basedOn w:val="Normal"/>
    <w:link w:val="CommentTextChar"/>
    <w:semiHidden/>
    <w:unhideWhenUsed/>
    <w:rsid w:val="005608EF"/>
    <w:rPr>
      <w:sz w:val="20"/>
    </w:rPr>
  </w:style>
  <w:style w:type="character" w:customStyle="1" w:styleId="CommentTextChar">
    <w:name w:val="Comment Text Char"/>
    <w:basedOn w:val="DefaultParagraphFont"/>
    <w:link w:val="CommentText"/>
    <w:semiHidden/>
    <w:rsid w:val="005608EF"/>
    <w:rPr>
      <w:rFonts w:ascii="Arial" w:hAnsi="Arial"/>
      <w:lang w:eastAsia="en-US"/>
    </w:rPr>
  </w:style>
  <w:style w:type="paragraph" w:styleId="CommentSubject">
    <w:name w:val="annotation subject"/>
    <w:basedOn w:val="CommentText"/>
    <w:next w:val="CommentText"/>
    <w:link w:val="CommentSubjectChar"/>
    <w:semiHidden/>
    <w:unhideWhenUsed/>
    <w:rsid w:val="005608EF"/>
    <w:rPr>
      <w:b/>
      <w:bCs/>
    </w:rPr>
  </w:style>
  <w:style w:type="character" w:customStyle="1" w:styleId="CommentSubjectChar">
    <w:name w:val="Comment Subject Char"/>
    <w:basedOn w:val="CommentTextChar"/>
    <w:link w:val="CommentSubject"/>
    <w:semiHidden/>
    <w:rsid w:val="005608EF"/>
    <w:rPr>
      <w:rFonts w:ascii="Arial" w:hAnsi="Arial"/>
      <w:b/>
      <w:bCs/>
      <w:lang w:eastAsia="en-US"/>
    </w:rPr>
  </w:style>
  <w:style w:type="paragraph" w:customStyle="1" w:styleId="xxmsonormal">
    <w:name w:val="x_xmsonormal"/>
    <w:basedOn w:val="Normal"/>
    <w:rsid w:val="00CF0F17"/>
    <w:rPr>
      <w:rFonts w:ascii="Calibri" w:eastAsiaTheme="minorHAnsi" w:hAnsi="Calibri" w:cs="Calibri"/>
      <w:sz w:val="22"/>
      <w:szCs w:val="22"/>
      <w:lang w:eastAsia="en-GB"/>
    </w:rPr>
  </w:style>
  <w:style w:type="paragraph" w:customStyle="1" w:styleId="xxmsolistparagraph">
    <w:name w:val="x_xmsolistparagraph"/>
    <w:basedOn w:val="Normal"/>
    <w:rsid w:val="00CF0F17"/>
    <w:pPr>
      <w:ind w:left="720"/>
    </w:pPr>
    <w:rPr>
      <w:rFonts w:ascii="Calibri" w:eastAsiaTheme="minorHAnsi" w:hAnsi="Calibri" w:cs="Calibri"/>
      <w:sz w:val="22"/>
      <w:szCs w:val="22"/>
      <w:lang w:eastAsia="en-GB"/>
    </w:rPr>
  </w:style>
  <w:style w:type="paragraph" w:styleId="Revision">
    <w:name w:val="Revision"/>
    <w:hidden/>
    <w:uiPriority w:val="99"/>
    <w:semiHidden/>
    <w:rsid w:val="003A51F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3422">
      <w:bodyDiv w:val="1"/>
      <w:marLeft w:val="0"/>
      <w:marRight w:val="0"/>
      <w:marTop w:val="0"/>
      <w:marBottom w:val="0"/>
      <w:divBdr>
        <w:top w:val="none" w:sz="0" w:space="0" w:color="auto"/>
        <w:left w:val="none" w:sz="0" w:space="0" w:color="auto"/>
        <w:bottom w:val="none" w:sz="0" w:space="0" w:color="auto"/>
        <w:right w:val="none" w:sz="0" w:space="0" w:color="auto"/>
      </w:divBdr>
    </w:div>
    <w:div w:id="562915109">
      <w:bodyDiv w:val="1"/>
      <w:marLeft w:val="0"/>
      <w:marRight w:val="0"/>
      <w:marTop w:val="0"/>
      <w:marBottom w:val="0"/>
      <w:divBdr>
        <w:top w:val="none" w:sz="0" w:space="0" w:color="auto"/>
        <w:left w:val="none" w:sz="0" w:space="0" w:color="auto"/>
        <w:bottom w:val="none" w:sz="0" w:space="0" w:color="auto"/>
        <w:right w:val="none" w:sz="0" w:space="0" w:color="auto"/>
      </w:divBdr>
    </w:div>
    <w:div w:id="563880211">
      <w:bodyDiv w:val="1"/>
      <w:marLeft w:val="0"/>
      <w:marRight w:val="0"/>
      <w:marTop w:val="0"/>
      <w:marBottom w:val="0"/>
      <w:divBdr>
        <w:top w:val="none" w:sz="0" w:space="0" w:color="auto"/>
        <w:left w:val="none" w:sz="0" w:space="0" w:color="auto"/>
        <w:bottom w:val="none" w:sz="0" w:space="0" w:color="auto"/>
        <w:right w:val="none" w:sz="0" w:space="0" w:color="auto"/>
      </w:divBdr>
    </w:div>
    <w:div w:id="597374960">
      <w:bodyDiv w:val="1"/>
      <w:marLeft w:val="0"/>
      <w:marRight w:val="0"/>
      <w:marTop w:val="0"/>
      <w:marBottom w:val="0"/>
      <w:divBdr>
        <w:top w:val="none" w:sz="0" w:space="0" w:color="auto"/>
        <w:left w:val="none" w:sz="0" w:space="0" w:color="auto"/>
        <w:bottom w:val="none" w:sz="0" w:space="0" w:color="auto"/>
        <w:right w:val="none" w:sz="0" w:space="0" w:color="auto"/>
      </w:divBdr>
    </w:div>
    <w:div w:id="1011298415">
      <w:bodyDiv w:val="1"/>
      <w:marLeft w:val="0"/>
      <w:marRight w:val="0"/>
      <w:marTop w:val="0"/>
      <w:marBottom w:val="0"/>
      <w:divBdr>
        <w:top w:val="none" w:sz="0" w:space="0" w:color="auto"/>
        <w:left w:val="none" w:sz="0" w:space="0" w:color="auto"/>
        <w:bottom w:val="none" w:sz="0" w:space="0" w:color="auto"/>
        <w:right w:val="none" w:sz="0" w:space="0" w:color="auto"/>
      </w:divBdr>
    </w:div>
    <w:div w:id="1240865740">
      <w:bodyDiv w:val="1"/>
      <w:marLeft w:val="0"/>
      <w:marRight w:val="0"/>
      <w:marTop w:val="0"/>
      <w:marBottom w:val="0"/>
      <w:divBdr>
        <w:top w:val="none" w:sz="0" w:space="0" w:color="auto"/>
        <w:left w:val="none" w:sz="0" w:space="0" w:color="auto"/>
        <w:bottom w:val="none" w:sz="0" w:space="0" w:color="auto"/>
        <w:right w:val="none" w:sz="0" w:space="0" w:color="auto"/>
      </w:divBdr>
    </w:div>
    <w:div w:id="1595476129">
      <w:bodyDiv w:val="1"/>
      <w:marLeft w:val="0"/>
      <w:marRight w:val="0"/>
      <w:marTop w:val="0"/>
      <w:marBottom w:val="0"/>
      <w:divBdr>
        <w:top w:val="none" w:sz="0" w:space="0" w:color="auto"/>
        <w:left w:val="none" w:sz="0" w:space="0" w:color="auto"/>
        <w:bottom w:val="none" w:sz="0" w:space="0" w:color="auto"/>
        <w:right w:val="none" w:sz="0" w:space="0" w:color="auto"/>
      </w:divBdr>
    </w:div>
    <w:div w:id="1678921505">
      <w:bodyDiv w:val="1"/>
      <w:marLeft w:val="0"/>
      <w:marRight w:val="0"/>
      <w:marTop w:val="0"/>
      <w:marBottom w:val="0"/>
      <w:divBdr>
        <w:top w:val="none" w:sz="0" w:space="0" w:color="auto"/>
        <w:left w:val="none" w:sz="0" w:space="0" w:color="auto"/>
        <w:bottom w:val="none" w:sz="0" w:space="0" w:color="auto"/>
        <w:right w:val="none" w:sz="0" w:space="0" w:color="auto"/>
      </w:divBdr>
    </w:div>
    <w:div w:id="1800492951">
      <w:bodyDiv w:val="1"/>
      <w:marLeft w:val="0"/>
      <w:marRight w:val="0"/>
      <w:marTop w:val="0"/>
      <w:marBottom w:val="0"/>
      <w:divBdr>
        <w:top w:val="none" w:sz="0" w:space="0" w:color="auto"/>
        <w:left w:val="none" w:sz="0" w:space="0" w:color="auto"/>
        <w:bottom w:val="none" w:sz="0" w:space="0" w:color="auto"/>
        <w:right w:val="none" w:sz="0" w:space="0" w:color="auto"/>
      </w:divBdr>
    </w:div>
    <w:div w:id="2032757643">
      <w:bodyDiv w:val="1"/>
      <w:marLeft w:val="0"/>
      <w:marRight w:val="0"/>
      <w:marTop w:val="0"/>
      <w:marBottom w:val="0"/>
      <w:divBdr>
        <w:top w:val="none" w:sz="0" w:space="0" w:color="auto"/>
        <w:left w:val="none" w:sz="0" w:space="0" w:color="auto"/>
        <w:bottom w:val="none" w:sz="0" w:space="0" w:color="auto"/>
        <w:right w:val="none" w:sz="0" w:space="0" w:color="auto"/>
      </w:divBdr>
    </w:div>
    <w:div w:id="2133015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la.Tobun@harrow.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2.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dc:description/>
  <cp:lastModifiedBy>Andrew Seaman5</cp:lastModifiedBy>
  <cp:revision>3</cp:revision>
  <cp:lastPrinted>2007-07-12T09:53:00Z</cp:lastPrinted>
  <dcterms:created xsi:type="dcterms:W3CDTF">2023-10-20T08:46:00Z</dcterms:created>
  <dcterms:modified xsi:type="dcterms:W3CDTF">2023-10-20T10:59:00Z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